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kinsoku/>
        <w:wordWrap/>
        <w:overflowPunct/>
        <w:topLinePunct w:val="0"/>
        <w:autoSpaceDE/>
        <w:autoSpaceDN/>
        <w:bidi w:val="0"/>
        <w:snapToGrid/>
        <w:spacing w:line="600" w:lineRule="exact"/>
        <w:jc w:val="center"/>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t>财务会计报告和审计报告摘要</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财务会计报告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（一）主要会计数据和财务指标情况</w:t>
      </w:r>
    </w:p>
    <w:p>
      <w:pPr>
        <w:keepNext w:val="0"/>
        <w:keepLines w:val="0"/>
        <w:pageBreakBefore w:val="0"/>
        <w:numPr>
          <w:ilvl w:val="0"/>
          <w:numId w:val="0"/>
        </w:numPr>
        <w:kinsoku/>
        <w:wordWrap/>
        <w:overflowPunct/>
        <w:topLinePunct w:val="0"/>
        <w:autoSpaceDE/>
        <w:autoSpaceDN/>
        <w:bidi w:val="0"/>
        <w:snapToGrid/>
        <w:spacing w:line="600" w:lineRule="exact"/>
        <w:jc w:val="right"/>
        <w:rPr>
          <w:rFonts w:hint="default" w:ascii="Times New Roman" w:hAnsi="Times New Roman" w:cs="Times New Roman"/>
          <w:sz w:val="28"/>
          <w:szCs w:val="36"/>
          <w:lang w:val="en-US" w:eastAsia="zh-CN"/>
        </w:rPr>
      </w:pPr>
      <w:r>
        <w:rPr>
          <w:rFonts w:hint="default" w:ascii="Times New Roman" w:hAnsi="Times New Roman" w:eastAsia="仿宋_GB2312" w:cs="Times New Roman"/>
          <w:sz w:val="28"/>
          <w:szCs w:val="36"/>
          <w:lang w:val="en-US" w:eastAsia="zh-CN"/>
        </w:rPr>
        <w:t>单位：万元；%</w:t>
      </w:r>
    </w:p>
    <w:tbl>
      <w:tblPr>
        <w:tblStyle w:val="5"/>
        <w:tblpPr w:leftFromText="180" w:rightFromText="180" w:vertAnchor="page" w:horzAnchor="page" w:tblpX="2100" w:tblpY="4759"/>
        <w:tblOverlap w:val="never"/>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2249"/>
        <w:gridCol w:w="2083"/>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项目</w:t>
            </w:r>
          </w:p>
        </w:tc>
        <w:tc>
          <w:tcPr>
            <w:tcW w:w="2249" w:type="dxa"/>
            <w:noWrap w:val="0"/>
            <w:vAlign w:val="top"/>
          </w:tcPr>
          <w:p>
            <w:pPr>
              <w:keepNext w:val="0"/>
              <w:keepLines w:val="0"/>
              <w:pageBreakBefore w:val="0"/>
              <w:kinsoku/>
              <w:wordWrap/>
              <w:overflowPunct/>
              <w:topLinePunct w:val="0"/>
              <w:autoSpaceDE/>
              <w:autoSpaceDN/>
              <w:bidi w:val="0"/>
              <w:snapToGrid/>
              <w:spacing w:line="600" w:lineRule="exact"/>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本期金额</w:t>
            </w:r>
          </w:p>
        </w:tc>
        <w:tc>
          <w:tcPr>
            <w:tcW w:w="2083" w:type="dxa"/>
            <w:noWrap w:val="0"/>
            <w:vAlign w:val="top"/>
          </w:tcPr>
          <w:p>
            <w:pPr>
              <w:keepNext w:val="0"/>
              <w:keepLines w:val="0"/>
              <w:pageBreakBefore w:val="0"/>
              <w:kinsoku/>
              <w:wordWrap/>
              <w:overflowPunct/>
              <w:topLinePunct w:val="0"/>
              <w:autoSpaceDE/>
              <w:autoSpaceDN/>
              <w:bidi w:val="0"/>
              <w:snapToGrid/>
              <w:spacing w:line="600" w:lineRule="exact"/>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上期金额</w:t>
            </w:r>
          </w:p>
        </w:tc>
        <w:tc>
          <w:tcPr>
            <w:tcW w:w="2033" w:type="dxa"/>
            <w:noWrap w:val="0"/>
            <w:vAlign w:val="top"/>
          </w:tcPr>
          <w:p>
            <w:pPr>
              <w:keepNext w:val="0"/>
              <w:keepLines w:val="0"/>
              <w:pageBreakBefore w:val="0"/>
              <w:kinsoku/>
              <w:wordWrap/>
              <w:overflowPunct/>
              <w:topLinePunct w:val="0"/>
              <w:autoSpaceDE/>
              <w:autoSpaceDN/>
              <w:bidi w:val="0"/>
              <w:snapToGrid/>
              <w:spacing w:line="600" w:lineRule="exact"/>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变动</w:t>
            </w:r>
            <w:r>
              <w:rPr>
                <w:rFonts w:hint="eastAsia" w:ascii="Times New Roman" w:hAnsi="Times New Roman" w:eastAsia="仿宋_GB2312" w:cs="Times New Roman"/>
                <w:sz w:val="32"/>
                <w:szCs w:val="32"/>
                <w:vertAlign w:val="baseli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营业收入</w:t>
            </w:r>
          </w:p>
        </w:tc>
        <w:tc>
          <w:tcPr>
            <w:tcW w:w="2249"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635,205.21</w:t>
            </w:r>
          </w:p>
        </w:tc>
        <w:tc>
          <w:tcPr>
            <w:tcW w:w="2083"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405,302.64</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229,902.57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营业成本</w:t>
            </w:r>
          </w:p>
        </w:tc>
        <w:tc>
          <w:tcPr>
            <w:tcW w:w="2249"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520,784.57</w:t>
            </w:r>
          </w:p>
        </w:tc>
        <w:tc>
          <w:tcPr>
            <w:tcW w:w="2083"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372,889.50</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147,895.07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销售费用</w:t>
            </w:r>
          </w:p>
        </w:tc>
        <w:tc>
          <w:tcPr>
            <w:tcW w:w="2249"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7,248.19</w:t>
            </w:r>
          </w:p>
        </w:tc>
        <w:tc>
          <w:tcPr>
            <w:tcW w:w="2083"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3,386.16</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3,862.03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管理费用</w:t>
            </w:r>
          </w:p>
        </w:tc>
        <w:tc>
          <w:tcPr>
            <w:tcW w:w="2249"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23,985.05</w:t>
            </w:r>
          </w:p>
        </w:tc>
        <w:tc>
          <w:tcPr>
            <w:tcW w:w="2083"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19,478.91</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4,506.14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财务费用</w:t>
            </w:r>
          </w:p>
        </w:tc>
        <w:tc>
          <w:tcPr>
            <w:tcW w:w="2249"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101,925.06</w:t>
            </w:r>
          </w:p>
        </w:tc>
        <w:tc>
          <w:tcPr>
            <w:tcW w:w="2083"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97,115.56</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4,809.50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投资收益</w:t>
            </w:r>
          </w:p>
        </w:tc>
        <w:tc>
          <w:tcPr>
            <w:tcW w:w="2249"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-10,543.04</w:t>
            </w:r>
          </w:p>
        </w:tc>
        <w:tc>
          <w:tcPr>
            <w:tcW w:w="2083"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-11,107.24</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564.20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营业利润</w:t>
            </w:r>
          </w:p>
        </w:tc>
        <w:tc>
          <w:tcPr>
            <w:tcW w:w="2249"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-54,236.15</w:t>
            </w:r>
          </w:p>
        </w:tc>
        <w:tc>
          <w:tcPr>
            <w:tcW w:w="2083"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-105,743.56</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51,507.41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利润总额</w:t>
            </w:r>
          </w:p>
        </w:tc>
        <w:tc>
          <w:tcPr>
            <w:tcW w:w="2249"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-53,758.17</w:t>
            </w:r>
          </w:p>
        </w:tc>
        <w:tc>
          <w:tcPr>
            <w:tcW w:w="2083"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-105,682.84</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51,924.67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kern w:val="2"/>
                <w:sz w:val="32"/>
                <w:szCs w:val="32"/>
                <w:vertAlign w:val="baseline"/>
                <w:lang w:val="en-US" w:eastAsia="zh-CN" w:bidi="ar-SA"/>
              </w:rPr>
            </w:pPr>
            <w:r>
              <w:rPr>
                <w:rFonts w:hint="default" w:ascii="Times New Roman" w:hAnsi="Times New Roman" w:eastAsia="仿宋_GB2312" w:cs="Times New Roman"/>
                <w:sz w:val="32"/>
                <w:szCs w:val="32"/>
                <w:vertAlign w:val="baseline"/>
                <w:lang w:val="en-US" w:eastAsia="zh-CN"/>
              </w:rPr>
              <w:t>净利润</w:t>
            </w:r>
          </w:p>
        </w:tc>
        <w:tc>
          <w:tcPr>
            <w:tcW w:w="2249"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-57,411.49</w:t>
            </w:r>
          </w:p>
        </w:tc>
        <w:tc>
          <w:tcPr>
            <w:tcW w:w="2083"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-108,303.08</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50,891.59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仿宋_GB2312" w:cs="Times New Roman"/>
                <w:sz w:val="32"/>
                <w:szCs w:val="32"/>
                <w:highlight w:val="none"/>
                <w:vertAlign w:val="baseline"/>
                <w:lang w:val="en-US" w:eastAsia="zh-CN"/>
              </w:rPr>
              <w:t>营业利润率</w:t>
            </w:r>
          </w:p>
        </w:tc>
        <w:tc>
          <w:tcPr>
            <w:tcW w:w="2249" w:type="dxa"/>
            <w:noWrap w:val="0"/>
            <w:vAlign w:val="top"/>
          </w:tcPr>
          <w:p>
            <w:pPr>
              <w:keepNext w:val="0"/>
              <w:keepLines w:val="0"/>
              <w:widowControl/>
              <w:suppressLineNumbers w:val="0"/>
              <w:jc w:val="center"/>
              <w:textAlignment w:val="top"/>
              <w:rPr>
                <w:rFonts w:hint="default" w:ascii="Times New Roman" w:hAnsi="Times New Roman" w:eastAsia="仿宋_GB2312" w:cs="Times New Roman"/>
                <w:kern w:val="2"/>
                <w:sz w:val="32"/>
                <w:szCs w:val="32"/>
                <w:highlight w:val="none"/>
                <w:vertAlign w:val="baseline"/>
                <w:lang w:val="en-US" w:eastAsia="zh-CN" w:bidi="ar-SA"/>
              </w:rPr>
            </w:pPr>
            <w:r>
              <w:rPr>
                <w:rFonts w:hint="default" w:ascii="Times New Roman" w:hAnsi="Times New Roman" w:eastAsia="宋体" w:cs="Times New Roman"/>
                <w:i w:val="0"/>
                <w:iCs w:val="0"/>
                <w:color w:val="000000"/>
                <w:kern w:val="0"/>
                <w:sz w:val="32"/>
                <w:szCs w:val="32"/>
                <w:u w:val="none"/>
                <w:lang w:val="en-US" w:eastAsia="zh-CN" w:bidi="ar"/>
              </w:rPr>
              <w:t>-8.54%</w:t>
            </w:r>
          </w:p>
        </w:tc>
        <w:tc>
          <w:tcPr>
            <w:tcW w:w="2083" w:type="dxa"/>
            <w:noWrap w:val="0"/>
            <w:vAlign w:val="top"/>
          </w:tcPr>
          <w:p>
            <w:pPr>
              <w:keepNext w:val="0"/>
              <w:keepLines w:val="0"/>
              <w:widowControl/>
              <w:suppressLineNumbers w:val="0"/>
              <w:jc w:val="center"/>
              <w:textAlignment w:val="top"/>
              <w:rPr>
                <w:rFonts w:hint="default" w:ascii="Times New Roman" w:hAnsi="Times New Roman" w:eastAsia="仿宋_GB2312" w:cs="Times New Roman"/>
                <w:kern w:val="2"/>
                <w:sz w:val="32"/>
                <w:szCs w:val="32"/>
                <w:highlight w:val="none"/>
                <w:vertAlign w:val="baseline"/>
                <w:lang w:val="en-US" w:eastAsia="zh-CN" w:bidi="ar-SA"/>
              </w:rPr>
            </w:pPr>
            <w:r>
              <w:rPr>
                <w:rFonts w:hint="default" w:ascii="Times New Roman" w:hAnsi="Times New Roman" w:eastAsia="宋体" w:cs="Times New Roman"/>
                <w:i w:val="0"/>
                <w:iCs w:val="0"/>
                <w:color w:val="000000"/>
                <w:kern w:val="0"/>
                <w:sz w:val="32"/>
                <w:szCs w:val="32"/>
                <w:u w:val="none"/>
                <w:lang w:val="en-US" w:eastAsia="zh-CN" w:bidi="ar"/>
              </w:rPr>
              <w:t>-26.09%</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32"/>
                <w:szCs w:val="32"/>
                <w:highlight w:val="none"/>
                <w:vertAlign w:val="baseline"/>
                <w:lang w:val="en-US" w:eastAsia="zh-CN" w:bidi="ar-SA"/>
              </w:rPr>
            </w:pPr>
            <w:r>
              <w:rPr>
                <w:rFonts w:hint="default" w:ascii="Times New Roman" w:hAnsi="Times New Roman" w:eastAsia="宋体" w:cs="Times New Roman"/>
                <w:i w:val="0"/>
                <w:iCs w:val="0"/>
                <w:color w:val="000000"/>
                <w:kern w:val="0"/>
                <w:sz w:val="32"/>
                <w:szCs w:val="32"/>
                <w:u w:val="none"/>
                <w:lang w:val="en-US" w:eastAsia="zh-CN" w:bidi="ar"/>
              </w:rPr>
              <w:t>17.55%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highlight w:val="none"/>
                <w:vertAlign w:val="baseline"/>
                <w:lang w:val="en-US" w:eastAsia="zh-CN"/>
              </w:rPr>
            </w:pPr>
            <w:r>
              <w:rPr>
                <w:rFonts w:hint="default" w:ascii="Times New Roman" w:hAnsi="Times New Roman" w:eastAsia="仿宋_GB2312" w:cs="Times New Roman"/>
                <w:sz w:val="32"/>
                <w:szCs w:val="32"/>
                <w:highlight w:val="none"/>
                <w:vertAlign w:val="baseline"/>
                <w:lang w:val="en-US" w:eastAsia="zh-CN"/>
              </w:rPr>
              <w:t>净资产收益率</w:t>
            </w:r>
          </w:p>
        </w:tc>
        <w:tc>
          <w:tcPr>
            <w:tcW w:w="2249" w:type="dxa"/>
            <w:noWrap w:val="0"/>
            <w:vAlign w:val="top"/>
          </w:tcPr>
          <w:p>
            <w:pPr>
              <w:keepNext w:val="0"/>
              <w:keepLines w:val="0"/>
              <w:pageBreakBefore w:val="0"/>
              <w:widowControl/>
              <w:suppressLineNumbers w:val="0"/>
              <w:kinsoku/>
              <w:wordWrap/>
              <w:overflowPunct/>
              <w:topLinePunct w:val="0"/>
              <w:autoSpaceDE/>
              <w:autoSpaceDN/>
              <w:bidi w:val="0"/>
              <w:snapToGrid/>
              <w:spacing w:line="600" w:lineRule="exact"/>
              <w:jc w:val="center"/>
              <w:textAlignment w:val="top"/>
              <w:rPr>
                <w:rFonts w:hint="default" w:ascii="Times New Roman" w:hAnsi="Times New Roman" w:eastAsia="仿宋_GB2312" w:cs="Times New Roman"/>
                <w:kern w:val="2"/>
                <w:sz w:val="32"/>
                <w:szCs w:val="32"/>
                <w:highlight w:val="none"/>
                <w:vertAlign w:val="baseline"/>
                <w:lang w:val="en-US" w:eastAsia="zh-CN" w:bidi="ar-SA"/>
              </w:rPr>
            </w:pPr>
            <w:r>
              <w:rPr>
                <w:rFonts w:hint="eastAsia" w:ascii="Times New Roman" w:hAnsi="Times New Roman" w:eastAsia="仿宋_GB2312" w:cs="Times New Roman"/>
                <w:kern w:val="2"/>
                <w:sz w:val="32"/>
                <w:szCs w:val="32"/>
                <w:highlight w:val="none"/>
                <w:vertAlign w:val="baseline"/>
                <w:lang w:val="en-US" w:eastAsia="zh-CN" w:bidi="ar-SA"/>
              </w:rPr>
              <w:t>-0.6%</w:t>
            </w:r>
          </w:p>
        </w:tc>
        <w:tc>
          <w:tcPr>
            <w:tcW w:w="2083" w:type="dxa"/>
            <w:noWrap w:val="0"/>
            <w:vAlign w:val="top"/>
          </w:tcPr>
          <w:p>
            <w:pPr>
              <w:keepNext w:val="0"/>
              <w:keepLines w:val="0"/>
              <w:pageBreakBefore w:val="0"/>
              <w:widowControl/>
              <w:suppressLineNumbers w:val="0"/>
              <w:kinsoku/>
              <w:wordWrap/>
              <w:overflowPunct/>
              <w:topLinePunct w:val="0"/>
              <w:autoSpaceDE/>
              <w:autoSpaceDN/>
              <w:bidi w:val="0"/>
              <w:snapToGrid/>
              <w:spacing w:line="600" w:lineRule="exact"/>
              <w:jc w:val="center"/>
              <w:textAlignment w:val="top"/>
              <w:rPr>
                <w:rFonts w:hint="default" w:ascii="Times New Roman" w:hAnsi="Times New Roman" w:eastAsia="仿宋_GB2312" w:cs="Times New Roman"/>
                <w:kern w:val="2"/>
                <w:sz w:val="32"/>
                <w:szCs w:val="32"/>
                <w:highlight w:val="none"/>
                <w:vertAlign w:val="baseline"/>
                <w:lang w:val="en-US" w:eastAsia="zh-CN" w:bidi="ar-SA"/>
              </w:rPr>
            </w:pPr>
            <w:r>
              <w:rPr>
                <w:rFonts w:hint="eastAsia" w:ascii="Times New Roman" w:hAnsi="Times New Roman" w:eastAsia="仿宋_GB2312" w:cs="Times New Roman"/>
                <w:kern w:val="2"/>
                <w:sz w:val="32"/>
                <w:szCs w:val="32"/>
                <w:highlight w:val="none"/>
                <w:vertAlign w:val="baseline"/>
                <w:lang w:val="en-US" w:eastAsia="zh-CN" w:bidi="ar-SA"/>
              </w:rPr>
              <w:t>-1.1%</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32"/>
                <w:szCs w:val="32"/>
                <w:highlight w:val="none"/>
                <w:vertAlign w:val="baseline"/>
                <w:lang w:val="en-US" w:eastAsia="zh-CN" w:bidi="ar-SA"/>
              </w:rPr>
            </w:pPr>
            <w:r>
              <w:rPr>
                <w:rFonts w:hint="default" w:ascii="Times New Roman" w:hAnsi="Times New Roman" w:eastAsia="宋体" w:cs="Times New Roman"/>
                <w:i w:val="0"/>
                <w:iCs w:val="0"/>
                <w:color w:val="000000"/>
                <w:kern w:val="0"/>
                <w:sz w:val="32"/>
                <w:szCs w:val="32"/>
                <w:u w:val="none"/>
                <w:lang w:val="en-US" w:eastAsia="zh-CN" w:bidi="ar"/>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155"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kern w:val="2"/>
                <w:sz w:val="32"/>
                <w:szCs w:val="32"/>
                <w:vertAlign w:val="baseline"/>
                <w:lang w:val="en-US" w:eastAsia="zh-CN" w:bidi="ar-SA"/>
              </w:rPr>
            </w:pPr>
            <w:r>
              <w:rPr>
                <w:rFonts w:hint="default" w:ascii="Times New Roman" w:hAnsi="Times New Roman" w:eastAsia="仿宋_GB2312" w:cs="Times New Roman"/>
                <w:sz w:val="32"/>
                <w:szCs w:val="32"/>
                <w:vertAlign w:val="baseline"/>
                <w:lang w:val="en-US" w:eastAsia="zh-CN"/>
              </w:rPr>
              <w:t>已交税费总额</w:t>
            </w:r>
          </w:p>
        </w:tc>
        <w:tc>
          <w:tcPr>
            <w:tcW w:w="2249" w:type="dxa"/>
            <w:noWrap w:val="0"/>
            <w:vAlign w:val="center"/>
          </w:tcPr>
          <w:p>
            <w:pPr>
              <w:keepNext w:val="0"/>
              <w:keepLines w:val="0"/>
              <w:pageBreakBefore w:val="0"/>
              <w:widowControl/>
              <w:suppressLineNumbers w:val="0"/>
              <w:kinsoku/>
              <w:wordWrap/>
              <w:overflowPunct/>
              <w:topLinePunct w:val="0"/>
              <w:autoSpaceDE/>
              <w:autoSpaceDN/>
              <w:bidi w:val="0"/>
              <w:snapToGrid/>
              <w:spacing w:line="600" w:lineRule="exact"/>
              <w:jc w:val="center"/>
              <w:textAlignment w:val="center"/>
              <w:rPr>
                <w:rFonts w:hint="default" w:ascii="Times New Roman" w:hAnsi="Times New Roman" w:eastAsia="仿宋_GB2312" w:cs="Times New Roman"/>
                <w:kern w:val="2"/>
                <w:sz w:val="32"/>
                <w:szCs w:val="32"/>
                <w:vertAlign w:val="baseline"/>
                <w:lang w:val="en-US" w:eastAsia="zh-CN" w:bidi="ar-SA"/>
              </w:rPr>
            </w:pPr>
            <w:r>
              <w:rPr>
                <w:rFonts w:hint="eastAsia" w:ascii="Times New Roman" w:hAnsi="Times New Roman" w:eastAsia="仿宋_GB2312" w:cs="Times New Roman"/>
                <w:kern w:val="2"/>
                <w:sz w:val="32"/>
                <w:szCs w:val="32"/>
                <w:vertAlign w:val="baseline"/>
                <w:lang w:val="en-US" w:eastAsia="zh-CN" w:bidi="ar-SA"/>
              </w:rPr>
              <w:t>32,682.44</w:t>
            </w:r>
          </w:p>
        </w:tc>
        <w:tc>
          <w:tcPr>
            <w:tcW w:w="2083" w:type="dxa"/>
            <w:noWrap w:val="0"/>
            <w:vAlign w:val="center"/>
          </w:tcPr>
          <w:p>
            <w:pPr>
              <w:keepNext w:val="0"/>
              <w:keepLines w:val="0"/>
              <w:pageBreakBefore w:val="0"/>
              <w:widowControl/>
              <w:suppressLineNumbers w:val="0"/>
              <w:kinsoku/>
              <w:wordWrap/>
              <w:overflowPunct/>
              <w:topLinePunct w:val="0"/>
              <w:autoSpaceDE/>
              <w:autoSpaceDN/>
              <w:bidi w:val="0"/>
              <w:snapToGrid/>
              <w:spacing w:line="600" w:lineRule="exact"/>
              <w:jc w:val="center"/>
              <w:textAlignment w:val="center"/>
              <w:rPr>
                <w:rFonts w:hint="default" w:ascii="Times New Roman" w:hAnsi="Times New Roman" w:eastAsia="仿宋_GB2312" w:cs="Times New Roman"/>
                <w:kern w:val="2"/>
                <w:sz w:val="32"/>
                <w:szCs w:val="32"/>
                <w:vertAlign w:val="baseline"/>
                <w:lang w:val="en-US" w:eastAsia="zh-CN" w:bidi="ar-SA"/>
              </w:rPr>
            </w:pPr>
            <w:r>
              <w:rPr>
                <w:rFonts w:hint="eastAsia" w:ascii="Times New Roman" w:hAnsi="Times New Roman" w:eastAsia="仿宋_GB2312" w:cs="Times New Roman"/>
                <w:kern w:val="2"/>
                <w:sz w:val="32"/>
                <w:szCs w:val="32"/>
                <w:vertAlign w:val="baseline"/>
                <w:lang w:val="en-US" w:eastAsia="zh-CN" w:bidi="ar-SA"/>
              </w:rPr>
              <w:t>20,781.17</w:t>
            </w:r>
          </w:p>
        </w:tc>
        <w:tc>
          <w:tcPr>
            <w:tcW w:w="203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32"/>
                <w:szCs w:val="32"/>
                <w:vertAlign w:val="baseline"/>
                <w:lang w:val="en-US" w:eastAsia="zh-CN" w:bidi="ar-SA"/>
              </w:rPr>
            </w:pPr>
            <w:r>
              <w:rPr>
                <w:rFonts w:hint="default" w:ascii="Times New Roman" w:hAnsi="Times New Roman" w:eastAsia="宋体" w:cs="Times New Roman"/>
                <w:i w:val="0"/>
                <w:iCs w:val="0"/>
                <w:color w:val="000000"/>
                <w:kern w:val="0"/>
                <w:sz w:val="32"/>
                <w:szCs w:val="32"/>
                <w:u w:val="none"/>
                <w:lang w:val="en-US" w:eastAsia="zh-CN" w:bidi="ar"/>
              </w:rPr>
              <w:t>11,901.27</w:t>
            </w:r>
          </w:p>
        </w:tc>
      </w:tr>
    </w:tbl>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楷体_GB2312" w:cs="Times New Roman"/>
          <w:sz w:val="32"/>
          <w:szCs w:val="32"/>
          <w:lang w:val="en-US" w:eastAsia="zh-CN"/>
        </w:rPr>
      </w:pP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楷体_GB2312" w:cs="Times New Roman"/>
          <w:sz w:val="32"/>
          <w:szCs w:val="32"/>
          <w:lang w:val="en-US" w:eastAsia="zh-CN"/>
        </w:rPr>
      </w:pP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楷体_GB2312" w:cs="Times New Roman"/>
          <w:sz w:val="32"/>
          <w:szCs w:val="32"/>
          <w:lang w:val="en-US" w:eastAsia="zh-CN"/>
        </w:rPr>
      </w:pPr>
    </w:p>
    <w:tbl>
      <w:tblPr>
        <w:tblStyle w:val="5"/>
        <w:tblpPr w:leftFromText="180" w:rightFromText="180" w:vertAnchor="page" w:horzAnchor="page" w:tblpX="2010" w:tblpY="2452"/>
        <w:tblOverlap w:val="never"/>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2520"/>
        <w:gridCol w:w="2336"/>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noWrap w:val="0"/>
            <w:vAlign w:val="top"/>
          </w:tcPr>
          <w:p>
            <w:pPr>
              <w:keepNext w:val="0"/>
              <w:keepLines w:val="0"/>
              <w:pageBreakBefore w:val="0"/>
              <w:kinsoku/>
              <w:wordWrap/>
              <w:overflowPunct/>
              <w:topLinePunct w:val="0"/>
              <w:autoSpaceDE/>
              <w:autoSpaceDN/>
              <w:bidi w:val="0"/>
              <w:snapToGrid/>
              <w:spacing w:line="600" w:lineRule="exact"/>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项目</w:t>
            </w:r>
          </w:p>
        </w:tc>
        <w:tc>
          <w:tcPr>
            <w:tcW w:w="2520" w:type="dxa"/>
            <w:noWrap w:val="0"/>
            <w:vAlign w:val="top"/>
          </w:tcPr>
          <w:p>
            <w:pPr>
              <w:keepNext w:val="0"/>
              <w:keepLines w:val="0"/>
              <w:pageBreakBefore w:val="0"/>
              <w:kinsoku/>
              <w:wordWrap/>
              <w:overflowPunct/>
              <w:topLinePunct w:val="0"/>
              <w:autoSpaceDE/>
              <w:autoSpaceDN/>
              <w:bidi w:val="0"/>
              <w:snapToGrid/>
              <w:spacing w:line="600" w:lineRule="exact"/>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期末余额</w:t>
            </w:r>
          </w:p>
        </w:tc>
        <w:tc>
          <w:tcPr>
            <w:tcW w:w="2336" w:type="dxa"/>
            <w:noWrap w:val="0"/>
            <w:vAlign w:val="top"/>
          </w:tcPr>
          <w:p>
            <w:pPr>
              <w:keepNext w:val="0"/>
              <w:keepLines w:val="0"/>
              <w:pageBreakBefore w:val="0"/>
              <w:kinsoku/>
              <w:wordWrap/>
              <w:overflowPunct/>
              <w:topLinePunct w:val="0"/>
              <w:autoSpaceDE/>
              <w:autoSpaceDN/>
              <w:bidi w:val="0"/>
              <w:snapToGrid/>
              <w:spacing w:line="600" w:lineRule="exact"/>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年初余额</w:t>
            </w:r>
          </w:p>
        </w:tc>
        <w:tc>
          <w:tcPr>
            <w:tcW w:w="1549" w:type="dxa"/>
            <w:noWrap w:val="0"/>
            <w:vAlign w:val="top"/>
          </w:tcPr>
          <w:p>
            <w:pPr>
              <w:keepNext w:val="0"/>
              <w:keepLines w:val="0"/>
              <w:pageBreakBefore w:val="0"/>
              <w:kinsoku/>
              <w:wordWrap/>
              <w:overflowPunct/>
              <w:topLinePunct w:val="0"/>
              <w:autoSpaceDE/>
              <w:autoSpaceDN/>
              <w:bidi w:val="0"/>
              <w:snapToGrid/>
              <w:spacing w:line="600" w:lineRule="exact"/>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变动</w:t>
            </w:r>
            <w:r>
              <w:rPr>
                <w:rFonts w:hint="eastAsia" w:ascii="Times New Roman" w:hAnsi="Times New Roman" w:eastAsia="仿宋_GB2312" w:cs="Times New Roman"/>
                <w:sz w:val="32"/>
                <w:szCs w:val="32"/>
                <w:vertAlign w:val="baseli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资产总额</w:t>
            </w:r>
          </w:p>
        </w:tc>
        <w:tc>
          <w:tcPr>
            <w:tcW w:w="2520"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17,887,508.53</w:t>
            </w:r>
          </w:p>
        </w:tc>
        <w:tc>
          <w:tcPr>
            <w:tcW w:w="2336"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17,787,695.85</w:t>
            </w:r>
          </w:p>
        </w:tc>
        <w:tc>
          <w:tcPr>
            <w:tcW w:w="1549"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99,812.68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负债总额</w:t>
            </w:r>
          </w:p>
        </w:tc>
        <w:tc>
          <w:tcPr>
            <w:tcW w:w="2520"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7,754,225.31</w:t>
            </w:r>
          </w:p>
        </w:tc>
        <w:tc>
          <w:tcPr>
            <w:tcW w:w="2336"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7,694,426.47</w:t>
            </w:r>
          </w:p>
        </w:tc>
        <w:tc>
          <w:tcPr>
            <w:tcW w:w="1549"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59,798.84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noWrap w:val="0"/>
            <w:vAlign w:val="top"/>
          </w:tcPr>
          <w:p>
            <w:pPr>
              <w:keepNext w:val="0"/>
              <w:keepLines w:val="0"/>
              <w:pageBreakBefore w:val="0"/>
              <w:kinsoku/>
              <w:wordWrap/>
              <w:overflowPunct/>
              <w:topLinePunct w:val="0"/>
              <w:autoSpaceDE/>
              <w:autoSpaceDN/>
              <w:bidi w:val="0"/>
              <w:snapToGrid/>
              <w:spacing w:line="600" w:lineRule="exact"/>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所有者权益总额</w:t>
            </w:r>
          </w:p>
        </w:tc>
        <w:tc>
          <w:tcPr>
            <w:tcW w:w="2520"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10,133,283.23</w:t>
            </w:r>
          </w:p>
        </w:tc>
        <w:tc>
          <w:tcPr>
            <w:tcW w:w="2336" w:type="dxa"/>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32"/>
                <w:szCs w:val="32"/>
                <w:u w:val="none"/>
                <w:lang w:val="en-US" w:eastAsia="zh-CN" w:bidi="ar"/>
              </w:rPr>
            </w:pPr>
            <w:r>
              <w:rPr>
                <w:rFonts w:hint="eastAsia" w:ascii="Times New Roman" w:hAnsi="Times New Roman" w:eastAsia="宋体" w:cs="Times New Roman"/>
                <w:i w:val="0"/>
                <w:iCs w:val="0"/>
                <w:color w:val="000000"/>
                <w:kern w:val="0"/>
                <w:sz w:val="32"/>
                <w:szCs w:val="32"/>
                <w:u w:val="none"/>
                <w:lang w:val="en-US" w:eastAsia="zh-CN" w:bidi="ar"/>
              </w:rPr>
              <w:t>10,093,269.38</w:t>
            </w:r>
          </w:p>
        </w:tc>
        <w:tc>
          <w:tcPr>
            <w:tcW w:w="1549"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32"/>
                <w:szCs w:val="32"/>
                <w:u w:val="none"/>
                <w:lang w:val="en-US" w:eastAsia="zh-CN" w:bidi="ar"/>
              </w:rPr>
              <w:t>40,013.85</w:t>
            </w:r>
          </w:p>
        </w:tc>
      </w:tr>
    </w:tbl>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（二）财务报表附注摘要</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1.合并范围情况</w:t>
      </w:r>
    </w:p>
    <w:p>
      <w:pPr>
        <w:keepNext w:val="0"/>
        <w:keepLines w:val="0"/>
        <w:pageBreakBefore w:val="0"/>
        <w:widowControl w:val="0"/>
        <w:kinsoku/>
        <w:wordWrap/>
        <w:overflowPunct/>
        <w:topLinePunct w:val="0"/>
        <w:autoSpaceDE/>
        <w:autoSpaceDN/>
        <w:bidi w:val="0"/>
        <w:adjustRightInd/>
        <w:snapToGrid/>
        <w:spacing w:after="156" w:afterLines="50"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2023年</w:t>
      </w:r>
      <w:r>
        <w:rPr>
          <w:rFonts w:hint="default" w:ascii="Times New Roman" w:hAnsi="Times New Roman" w:eastAsia="仿宋_GB2312" w:cs="Times New Roman"/>
          <w:kern w:val="0"/>
          <w:sz w:val="32"/>
          <w:szCs w:val="32"/>
          <w:lang w:val="en-US" w:eastAsia="zh-CN"/>
        </w:rPr>
        <w:t>，山东铁投集团合并范围内共</w:t>
      </w:r>
      <w:r>
        <w:rPr>
          <w:rFonts w:hint="eastAsia" w:ascii="Times New Roman" w:hAnsi="Times New Roman" w:eastAsia="仿宋_GB2312" w:cs="Times New Roman"/>
          <w:kern w:val="0"/>
          <w:sz w:val="32"/>
          <w:szCs w:val="32"/>
          <w:lang w:val="en-US" w:eastAsia="zh-CN"/>
        </w:rPr>
        <w:t>36</w:t>
      </w:r>
      <w:r>
        <w:rPr>
          <w:rFonts w:hint="default" w:ascii="Times New Roman" w:hAnsi="Times New Roman" w:eastAsia="仿宋_GB2312" w:cs="Times New Roman"/>
          <w:kern w:val="0"/>
          <w:sz w:val="32"/>
          <w:szCs w:val="32"/>
          <w:lang w:val="en-US" w:eastAsia="zh-CN"/>
        </w:rPr>
        <w:t>户企业，</w:t>
      </w:r>
      <w:r>
        <w:rPr>
          <w:rFonts w:hint="eastAsia" w:ascii="Times New Roman" w:hAnsi="Times New Roman" w:eastAsia="仿宋_GB2312" w:cs="Times New Roman"/>
          <w:kern w:val="0"/>
          <w:sz w:val="32"/>
          <w:szCs w:val="32"/>
          <w:lang w:val="en-US" w:eastAsia="zh-CN"/>
        </w:rPr>
        <w:t>其中</w:t>
      </w:r>
      <w:r>
        <w:rPr>
          <w:rFonts w:hint="default" w:ascii="Times New Roman" w:hAnsi="Times New Roman" w:eastAsia="仿宋_GB2312" w:cs="Times New Roman"/>
          <w:kern w:val="0"/>
          <w:sz w:val="32"/>
          <w:szCs w:val="32"/>
          <w:lang w:val="en-US" w:eastAsia="zh-CN"/>
        </w:rPr>
        <w:t>有境外子企业6户、上市公司1户。</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sz w:val="32"/>
          <w:szCs w:val="32"/>
        </w:rPr>
        <w:t>会计政策变更情况</w:t>
      </w:r>
    </w:p>
    <w:p>
      <w:pPr>
        <w:keepNext w:val="0"/>
        <w:keepLines w:val="0"/>
        <w:pageBreakBefore w:val="0"/>
        <w:widowControl w:val="0"/>
        <w:kinsoku/>
        <w:wordWrap/>
        <w:overflowPunct/>
        <w:topLinePunct w:val="0"/>
        <w:autoSpaceDE/>
        <w:autoSpaceDN/>
        <w:bidi w:val="0"/>
        <w:adjustRightInd/>
        <w:snapToGrid/>
        <w:spacing w:after="156" w:afterLines="50"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山东铁投集团于20</w:t>
      </w:r>
      <w:r>
        <w:rPr>
          <w:rFonts w:hint="default" w:ascii="Times New Roman" w:hAnsi="Times New Roman" w:eastAsia="仿宋_GB2312" w:cs="Times New Roman"/>
          <w:kern w:val="0"/>
          <w:sz w:val="32"/>
          <w:szCs w:val="32"/>
          <w:lang w:val="en-US" w:eastAsia="zh-CN"/>
        </w:rPr>
        <w:t>23</w:t>
      </w:r>
      <w:r>
        <w:rPr>
          <w:rFonts w:hint="eastAsia" w:ascii="Times New Roman" w:hAnsi="Times New Roman" w:eastAsia="仿宋_GB2312" w:cs="Times New Roman"/>
          <w:kern w:val="0"/>
          <w:sz w:val="32"/>
          <w:szCs w:val="32"/>
          <w:lang w:val="en-US" w:eastAsia="zh-CN"/>
        </w:rPr>
        <w:t>年1月1日施行</w:t>
      </w:r>
      <w:r>
        <w:rPr>
          <w:rFonts w:hint="default" w:ascii="Times New Roman" w:hAnsi="Times New Roman" w:eastAsia="仿宋_GB2312" w:cs="Times New Roman"/>
          <w:kern w:val="0"/>
          <w:sz w:val="32"/>
          <w:szCs w:val="32"/>
          <w:lang w:val="en-US" w:eastAsia="zh-CN"/>
        </w:rPr>
        <w:t>《企业会计准则</w:t>
      </w:r>
      <w:r>
        <w:rPr>
          <w:rFonts w:hint="eastAsia" w:ascii="Times New Roman" w:hAnsi="Times New Roman" w:eastAsia="仿宋_GB2312" w:cs="Times New Roman"/>
          <w:kern w:val="0"/>
          <w:sz w:val="32"/>
          <w:szCs w:val="32"/>
          <w:lang w:val="en-US" w:eastAsia="zh-CN"/>
        </w:rPr>
        <w:t>解释</w:t>
      </w:r>
      <w:r>
        <w:rPr>
          <w:rFonts w:hint="default" w:ascii="Times New Roman" w:hAnsi="Times New Roman" w:eastAsia="仿宋_GB2312" w:cs="Times New Roman"/>
          <w:kern w:val="0"/>
          <w:sz w:val="32"/>
          <w:szCs w:val="32"/>
          <w:lang w:val="en-US" w:eastAsia="zh-CN"/>
        </w:rPr>
        <w:t>第16号》（</w:t>
      </w:r>
      <w:r>
        <w:rPr>
          <w:rFonts w:hint="eastAsia" w:ascii="Times New Roman" w:hAnsi="Times New Roman" w:eastAsia="仿宋_GB2312" w:cs="Times New Roman"/>
          <w:kern w:val="0"/>
          <w:sz w:val="32"/>
          <w:szCs w:val="32"/>
          <w:lang w:val="en-US" w:eastAsia="zh-CN"/>
        </w:rPr>
        <w:t>财会〔202</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31</w:t>
      </w:r>
      <w:r>
        <w:rPr>
          <w:rFonts w:hint="eastAsia" w:ascii="Times New Roman" w:hAnsi="Times New Roman" w:eastAsia="仿宋_GB2312" w:cs="Times New Roman"/>
          <w:kern w:val="0"/>
          <w:sz w:val="32"/>
          <w:szCs w:val="32"/>
          <w:lang w:val="en-US" w:eastAsia="zh-CN"/>
        </w:rPr>
        <w:t>号，以下简称“解释1</w:t>
      </w:r>
      <w:r>
        <w:rPr>
          <w:rFonts w:hint="default" w:ascii="Times New Roman" w:hAnsi="Times New Roman" w:eastAsia="仿宋_GB2312" w:cs="Times New Roman"/>
          <w:kern w:val="0"/>
          <w:sz w:val="32"/>
          <w:szCs w:val="32"/>
          <w:lang w:val="en-US" w:eastAsia="zh-CN"/>
        </w:rPr>
        <w:t>6</w:t>
      </w:r>
      <w:r>
        <w:rPr>
          <w:rFonts w:hint="eastAsia" w:ascii="Times New Roman" w:hAnsi="Times New Roman" w:eastAsia="仿宋_GB2312" w:cs="Times New Roman"/>
          <w:kern w:val="0"/>
          <w:sz w:val="32"/>
          <w:szCs w:val="32"/>
          <w:lang w:val="en-US" w:eastAsia="zh-CN"/>
        </w:rPr>
        <w:t>号”</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相关规定，解释16号三个事项的会计处理中：“关于单项交易产生的资产和负债相关的递延所得税不适用初始确认豁免的会计处理”，根据规定对报</w:t>
      </w:r>
      <w:bookmarkStart w:id="0" w:name="_GoBack"/>
      <w:bookmarkEnd w:id="0"/>
      <w:r>
        <w:rPr>
          <w:rFonts w:hint="eastAsia" w:ascii="Times New Roman" w:hAnsi="Times New Roman" w:eastAsia="仿宋_GB2312" w:cs="Times New Roman"/>
          <w:kern w:val="0"/>
          <w:sz w:val="32"/>
          <w:szCs w:val="32"/>
          <w:lang w:val="en-US" w:eastAsia="zh-CN"/>
        </w:rPr>
        <w:t>表进行追溯调整。根据累积影响数，调整财务报表相关项目金额。会计政策变更导致</w:t>
      </w:r>
      <w:r>
        <w:rPr>
          <w:rFonts w:hint="default" w:ascii="Times New Roman" w:hAnsi="Times New Roman" w:eastAsia="仿宋_GB2312" w:cs="Times New Roman"/>
          <w:kern w:val="0"/>
          <w:sz w:val="32"/>
          <w:szCs w:val="32"/>
          <w:lang w:val="en-US" w:eastAsia="zh-CN"/>
        </w:rPr>
        <w:t>影响如下：</w:t>
      </w:r>
    </w:p>
    <w:p>
      <w:pPr>
        <w:keepNext w:val="0"/>
        <w:keepLines w:val="0"/>
        <w:pageBreakBefore w:val="0"/>
        <w:widowControl w:val="0"/>
        <w:kinsoku/>
        <w:wordWrap/>
        <w:overflowPunct/>
        <w:topLinePunct w:val="0"/>
        <w:autoSpaceDE/>
        <w:autoSpaceDN/>
        <w:bidi w:val="0"/>
        <w:adjustRightInd/>
        <w:snapToGrid/>
        <w:spacing w:after="156" w:afterLines="50" w:line="600" w:lineRule="exact"/>
        <w:ind w:firstLine="640" w:firstLineChars="200"/>
        <w:textAlignment w:val="auto"/>
        <w:rPr>
          <w:rFonts w:hint="default" w:ascii="Times New Roman" w:hAnsi="Times New Roman" w:eastAsia="仿宋_GB2312" w:cs="Times New Roman"/>
          <w:kern w:val="0"/>
          <w:sz w:val="32"/>
          <w:szCs w:val="32"/>
          <w:lang w:val="en-US" w:eastAsia="zh-CN"/>
        </w:rPr>
      </w:pPr>
    </w:p>
    <w:p>
      <w:pPr>
        <w:tabs>
          <w:tab w:val="left" w:pos="196"/>
          <w:tab w:val="left" w:pos="426"/>
        </w:tabs>
        <w:adjustRightInd w:val="0"/>
        <w:snapToGrid w:val="0"/>
        <w:spacing w:after="156" w:afterLines="50" w:line="360" w:lineRule="exact"/>
        <w:ind w:firstLine="420" w:firstLineChars="200"/>
        <w:rPr>
          <w:rFonts w:ascii="宋体" w:hAnsi="宋体"/>
        </w:rPr>
      </w:pPr>
    </w:p>
    <w:tbl>
      <w:tblPr>
        <w:tblStyle w:val="4"/>
        <w:tblW w:w="8365"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28" w:type="dxa"/>
          <w:bottom w:w="0" w:type="dxa"/>
          <w:right w:w="28" w:type="dxa"/>
        </w:tblCellMar>
      </w:tblPr>
      <w:tblGrid>
        <w:gridCol w:w="1614"/>
        <w:gridCol w:w="2498"/>
        <w:gridCol w:w="1984"/>
        <w:gridCol w:w="226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blHeader/>
          <w:jc w:val="center"/>
        </w:trPr>
        <w:tc>
          <w:tcPr>
            <w:tcW w:w="965" w:type="pct"/>
            <w:tcBorders>
              <w:top w:val="single" w:color="auto" w:sz="18" w:space="0"/>
              <w:left w:val="nil"/>
              <w:bottom w:val="dotted" w:color="auto" w:sz="4" w:space="0"/>
              <w:right w:val="dotted" w:color="auto" w:sz="4" w:space="0"/>
            </w:tcBorders>
            <w:vAlign w:val="center"/>
          </w:tcPr>
          <w:p>
            <w:pPr>
              <w:spacing w:line="360" w:lineRule="exact"/>
              <w:jc w:val="center"/>
              <w:rPr>
                <w:rFonts w:ascii="Arial Narrow" w:hAnsi="Arial Narrow" w:cs="Arial"/>
                <w:iCs/>
                <w:sz w:val="18"/>
                <w:szCs w:val="18"/>
              </w:rPr>
            </w:pPr>
            <w:r>
              <w:rPr>
                <w:rFonts w:hint="eastAsia" w:ascii="Arial Narrow" w:hAnsi="Arial Narrow" w:cs="Arial"/>
                <w:iCs/>
                <w:sz w:val="18"/>
                <w:szCs w:val="18"/>
              </w:rPr>
              <w:t>报表项目</w:t>
            </w:r>
          </w:p>
        </w:tc>
        <w:tc>
          <w:tcPr>
            <w:tcW w:w="1493" w:type="pct"/>
            <w:tcBorders>
              <w:top w:val="single" w:color="auto" w:sz="18" w:space="0"/>
              <w:left w:val="dotted" w:color="auto" w:sz="4" w:space="0"/>
              <w:bottom w:val="dotted" w:color="auto" w:sz="4" w:space="0"/>
              <w:right w:val="dotted" w:color="auto" w:sz="4" w:space="0"/>
            </w:tcBorders>
            <w:vAlign w:val="center"/>
          </w:tcPr>
          <w:p>
            <w:pPr>
              <w:spacing w:line="360" w:lineRule="exact"/>
              <w:jc w:val="center"/>
              <w:rPr>
                <w:rFonts w:ascii="Arial Narrow" w:hAnsi="Arial Narrow" w:cs="Arial"/>
                <w:iCs/>
                <w:sz w:val="18"/>
                <w:szCs w:val="18"/>
              </w:rPr>
            </w:pPr>
            <w:r>
              <w:rPr>
                <w:rFonts w:hint="eastAsia" w:ascii="Arial Narrow" w:hAnsi="Arial Narrow" w:cs="Arial"/>
                <w:iCs/>
                <w:sz w:val="18"/>
                <w:szCs w:val="18"/>
              </w:rPr>
              <w:t>会计政策变更前期初余额</w:t>
            </w:r>
          </w:p>
        </w:tc>
        <w:tc>
          <w:tcPr>
            <w:tcW w:w="1186" w:type="pct"/>
            <w:tcBorders>
              <w:top w:val="single" w:color="auto" w:sz="18" w:space="0"/>
              <w:left w:val="dotted" w:color="auto" w:sz="4" w:space="0"/>
              <w:bottom w:val="dotted" w:color="auto" w:sz="4" w:space="0"/>
              <w:right w:val="dotted" w:color="auto" w:sz="4" w:space="0"/>
            </w:tcBorders>
            <w:vAlign w:val="center"/>
          </w:tcPr>
          <w:p>
            <w:pPr>
              <w:spacing w:line="360" w:lineRule="exact"/>
              <w:jc w:val="center"/>
              <w:rPr>
                <w:rFonts w:ascii="Arial Narrow" w:hAnsi="Arial Narrow" w:cs="Arial"/>
                <w:iCs/>
                <w:sz w:val="18"/>
                <w:szCs w:val="18"/>
              </w:rPr>
            </w:pPr>
            <w:r>
              <w:rPr>
                <w:rFonts w:hint="eastAsia" w:ascii="Arial Narrow" w:hAnsi="Arial Narrow" w:cs="Arial"/>
                <w:iCs/>
                <w:sz w:val="18"/>
                <w:szCs w:val="18"/>
              </w:rPr>
              <w:t>调整金额</w:t>
            </w:r>
          </w:p>
        </w:tc>
        <w:tc>
          <w:tcPr>
            <w:tcW w:w="1356" w:type="pct"/>
            <w:tcBorders>
              <w:top w:val="single" w:color="auto" w:sz="18" w:space="0"/>
              <w:left w:val="dotted" w:color="auto" w:sz="4" w:space="0"/>
              <w:bottom w:val="dotted" w:color="auto" w:sz="4" w:space="0"/>
              <w:right w:val="nil"/>
            </w:tcBorders>
            <w:vAlign w:val="center"/>
          </w:tcPr>
          <w:p>
            <w:pPr>
              <w:spacing w:line="360" w:lineRule="exact"/>
              <w:jc w:val="center"/>
              <w:rPr>
                <w:rFonts w:ascii="Arial Narrow" w:hAnsi="Arial Narrow" w:cs="Arial"/>
                <w:iCs/>
                <w:sz w:val="18"/>
                <w:szCs w:val="18"/>
              </w:rPr>
            </w:pPr>
            <w:r>
              <w:rPr>
                <w:rFonts w:hint="eastAsia" w:ascii="Arial Narrow" w:hAnsi="Arial Narrow" w:cs="Arial"/>
                <w:iCs/>
                <w:sz w:val="18"/>
                <w:szCs w:val="18"/>
              </w:rPr>
              <w:t>会计政策变更后期初余额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jc w:val="center"/>
        </w:trPr>
        <w:tc>
          <w:tcPr>
            <w:tcW w:w="965" w:type="pct"/>
            <w:tcBorders>
              <w:top w:val="dotted" w:color="auto" w:sz="4" w:space="0"/>
              <w:left w:val="nil"/>
              <w:bottom w:val="dotted" w:color="auto" w:sz="4" w:space="0"/>
              <w:right w:val="dotted" w:color="auto" w:sz="4" w:space="0"/>
            </w:tcBorders>
            <w:vAlign w:val="center"/>
          </w:tcPr>
          <w:p>
            <w:pPr>
              <w:spacing w:line="360" w:lineRule="exact"/>
              <w:ind w:firstLine="149" w:firstLineChars="83"/>
              <w:jc w:val="left"/>
              <w:rPr>
                <w:rFonts w:ascii="Arial Narrow" w:hAnsi="宋体" w:cs="Arial"/>
                <w:iCs/>
                <w:sz w:val="18"/>
                <w:szCs w:val="18"/>
              </w:rPr>
            </w:pPr>
            <w:r>
              <w:rPr>
                <w:rFonts w:hint="eastAsia" w:ascii="Arial Narrow" w:hAnsi="宋体" w:cs="Arial"/>
                <w:iCs/>
                <w:sz w:val="18"/>
                <w:szCs w:val="18"/>
              </w:rPr>
              <w:t>资产类：</w:t>
            </w:r>
          </w:p>
        </w:tc>
        <w:tc>
          <w:tcPr>
            <w:tcW w:w="1493" w:type="pct"/>
            <w:tcBorders>
              <w:top w:val="dotted" w:color="auto" w:sz="4" w:space="0"/>
              <w:left w:val="dotted" w:color="auto" w:sz="4" w:space="0"/>
              <w:bottom w:val="dotted" w:color="auto" w:sz="4" w:space="0"/>
              <w:right w:val="dotted" w:color="auto" w:sz="4" w:space="0"/>
            </w:tcBorders>
            <w:vAlign w:val="center"/>
          </w:tcPr>
          <w:p>
            <w:pPr>
              <w:spacing w:line="360" w:lineRule="exact"/>
              <w:jc w:val="center"/>
              <w:rPr>
                <w:rFonts w:cs="Arial" w:asciiTheme="minorEastAsia" w:hAnsiTheme="minorEastAsia" w:eastAsiaTheme="minorEastAsia"/>
                <w:iCs/>
                <w:sz w:val="18"/>
                <w:szCs w:val="18"/>
              </w:rPr>
            </w:pPr>
          </w:p>
        </w:tc>
        <w:tc>
          <w:tcPr>
            <w:tcW w:w="1186" w:type="pct"/>
            <w:tcBorders>
              <w:top w:val="dotted" w:color="auto" w:sz="4" w:space="0"/>
              <w:left w:val="dotted" w:color="auto" w:sz="4" w:space="0"/>
              <w:bottom w:val="dotted" w:color="auto" w:sz="4" w:space="0"/>
              <w:right w:val="dotted" w:color="auto" w:sz="4" w:space="0"/>
            </w:tcBorders>
            <w:vAlign w:val="center"/>
          </w:tcPr>
          <w:p>
            <w:pPr>
              <w:spacing w:line="360" w:lineRule="exact"/>
              <w:jc w:val="center"/>
              <w:rPr>
                <w:rFonts w:cs="Arial" w:asciiTheme="minorEastAsia" w:hAnsiTheme="minorEastAsia" w:eastAsiaTheme="minorEastAsia"/>
                <w:iCs/>
                <w:sz w:val="18"/>
                <w:szCs w:val="18"/>
              </w:rPr>
            </w:pPr>
          </w:p>
        </w:tc>
        <w:tc>
          <w:tcPr>
            <w:tcW w:w="1356" w:type="pct"/>
            <w:tcBorders>
              <w:top w:val="dotted" w:color="auto" w:sz="4" w:space="0"/>
              <w:left w:val="dotted" w:color="auto" w:sz="4" w:space="0"/>
              <w:bottom w:val="dotted" w:color="auto" w:sz="4" w:space="0"/>
              <w:right w:val="nil"/>
            </w:tcBorders>
            <w:vAlign w:val="center"/>
          </w:tcPr>
          <w:p>
            <w:pPr>
              <w:spacing w:line="360" w:lineRule="exact"/>
              <w:jc w:val="center"/>
              <w:rPr>
                <w:rFonts w:cs="Arial" w:asciiTheme="minorEastAsia" w:hAnsiTheme="minorEastAsia" w:eastAsiaTheme="minorEastAsia"/>
                <w:iCs/>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jc w:val="center"/>
        </w:trPr>
        <w:tc>
          <w:tcPr>
            <w:tcW w:w="965" w:type="pct"/>
            <w:tcBorders>
              <w:top w:val="dotted" w:color="auto" w:sz="4" w:space="0"/>
              <w:left w:val="nil"/>
              <w:bottom w:val="dotted" w:color="auto" w:sz="4" w:space="0"/>
              <w:right w:val="dotted" w:color="auto" w:sz="4" w:space="0"/>
            </w:tcBorders>
            <w:vAlign w:val="center"/>
          </w:tcPr>
          <w:p>
            <w:pPr>
              <w:spacing w:line="360" w:lineRule="exact"/>
              <w:ind w:firstLine="149" w:firstLineChars="83"/>
              <w:jc w:val="left"/>
              <w:rPr>
                <w:rFonts w:ascii="Arial Narrow" w:hAnsi="Arial Narrow" w:cs="Arial"/>
                <w:iCs/>
                <w:sz w:val="18"/>
                <w:szCs w:val="18"/>
              </w:rPr>
            </w:pPr>
            <w:r>
              <w:rPr>
                <w:rFonts w:hint="eastAsia" w:ascii="Arial Narrow" w:hAnsi="Arial Narrow" w:cs="Arial"/>
                <w:iCs/>
                <w:sz w:val="18"/>
                <w:szCs w:val="18"/>
              </w:rPr>
              <w:t>递延所得税资产</w:t>
            </w:r>
          </w:p>
        </w:tc>
        <w:tc>
          <w:tcPr>
            <w:tcW w:w="1493" w:type="pct"/>
            <w:tcBorders>
              <w:top w:val="dotted" w:color="auto" w:sz="4" w:space="0"/>
              <w:left w:val="dotted" w:color="auto" w:sz="4" w:space="0"/>
              <w:bottom w:val="dotted" w:color="auto" w:sz="4" w:space="0"/>
              <w:right w:val="dotted" w:color="auto" w:sz="4" w:space="0"/>
            </w:tcBorders>
            <w:vAlign w:val="center"/>
          </w:tcPr>
          <w:p>
            <w:pPr>
              <w:spacing w:line="360" w:lineRule="exact"/>
              <w:jc w:val="center"/>
              <w:rPr>
                <w:rFonts w:hint="default" w:ascii="Times New Roman" w:hAnsi="Times New Roman" w:cs="Times New Roman" w:eastAsiaTheme="minorEastAsia"/>
                <w:iCs/>
                <w:sz w:val="18"/>
                <w:szCs w:val="18"/>
              </w:rPr>
            </w:pPr>
            <w:r>
              <w:rPr>
                <w:rFonts w:hint="default" w:ascii="Times New Roman" w:hAnsi="Times New Roman" w:cs="Times New Roman" w:eastAsiaTheme="minorEastAsia"/>
                <w:iCs/>
                <w:sz w:val="18"/>
                <w:szCs w:val="18"/>
              </w:rPr>
              <w:t>40,963,262.65</w:t>
            </w:r>
          </w:p>
        </w:tc>
        <w:tc>
          <w:tcPr>
            <w:tcW w:w="1186"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360" w:lineRule="exact"/>
              <w:jc w:val="center"/>
              <w:rPr>
                <w:rFonts w:hint="default" w:ascii="Times New Roman" w:hAnsi="Times New Roman" w:cs="Times New Roman" w:eastAsiaTheme="minorEastAsia"/>
                <w:iCs/>
                <w:sz w:val="18"/>
                <w:szCs w:val="18"/>
                <w:highlight w:val="yellow"/>
              </w:rPr>
            </w:pPr>
            <w:r>
              <w:rPr>
                <w:rFonts w:hint="default" w:ascii="Times New Roman" w:hAnsi="Times New Roman" w:cs="Times New Roman" w:eastAsiaTheme="minorEastAsia"/>
                <w:iCs/>
                <w:sz w:val="18"/>
                <w:szCs w:val="18"/>
              </w:rPr>
              <w:t xml:space="preserve">5,298,307.00 </w:t>
            </w:r>
          </w:p>
        </w:tc>
        <w:tc>
          <w:tcPr>
            <w:tcW w:w="1356" w:type="pct"/>
            <w:tcBorders>
              <w:top w:val="dotted" w:color="auto" w:sz="4" w:space="0"/>
              <w:left w:val="dotted" w:color="auto" w:sz="4" w:space="0"/>
              <w:bottom w:val="dotted" w:color="auto" w:sz="4" w:space="0"/>
              <w:right w:val="nil"/>
            </w:tcBorders>
            <w:vAlign w:val="center"/>
          </w:tcPr>
          <w:p>
            <w:pPr>
              <w:spacing w:line="360" w:lineRule="exact"/>
              <w:jc w:val="center"/>
              <w:rPr>
                <w:rFonts w:hint="default" w:ascii="Times New Roman" w:hAnsi="Times New Roman" w:cs="Times New Roman" w:eastAsiaTheme="minorEastAsia"/>
                <w:iCs/>
                <w:sz w:val="18"/>
                <w:szCs w:val="18"/>
              </w:rPr>
            </w:pPr>
            <w:r>
              <w:rPr>
                <w:rFonts w:hint="default" w:ascii="Times New Roman" w:hAnsi="Times New Roman" w:cs="Times New Roman" w:eastAsiaTheme="minorEastAsia"/>
                <w:iCs/>
                <w:sz w:val="18"/>
                <w:szCs w:val="18"/>
              </w:rPr>
              <w:t>46,261,569.65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jc w:val="center"/>
        </w:trPr>
        <w:tc>
          <w:tcPr>
            <w:tcW w:w="965" w:type="pct"/>
            <w:tcBorders>
              <w:top w:val="dotted" w:color="auto" w:sz="4" w:space="0"/>
              <w:left w:val="nil"/>
              <w:bottom w:val="dotted" w:color="auto" w:sz="4" w:space="0"/>
              <w:right w:val="dotted" w:color="auto" w:sz="4" w:space="0"/>
            </w:tcBorders>
            <w:vAlign w:val="center"/>
          </w:tcPr>
          <w:p>
            <w:pPr>
              <w:spacing w:line="360" w:lineRule="exact"/>
              <w:ind w:firstLine="149" w:firstLineChars="83"/>
              <w:jc w:val="left"/>
              <w:rPr>
                <w:rFonts w:ascii="Arial Narrow" w:hAnsi="Arial Narrow" w:cs="Arial"/>
                <w:iCs/>
                <w:sz w:val="18"/>
                <w:szCs w:val="18"/>
              </w:rPr>
            </w:pPr>
            <w:r>
              <w:rPr>
                <w:rFonts w:hint="eastAsia" w:ascii="Arial Narrow" w:hAnsi="Arial Narrow" w:cs="Arial"/>
                <w:iCs/>
                <w:sz w:val="18"/>
                <w:szCs w:val="18"/>
              </w:rPr>
              <w:t>负债类：</w:t>
            </w:r>
          </w:p>
        </w:tc>
        <w:tc>
          <w:tcPr>
            <w:tcW w:w="1493" w:type="pct"/>
            <w:tcBorders>
              <w:top w:val="dotted" w:color="auto" w:sz="4" w:space="0"/>
              <w:left w:val="dotted" w:color="auto" w:sz="4" w:space="0"/>
              <w:bottom w:val="dotted" w:color="auto" w:sz="4" w:space="0"/>
              <w:right w:val="dotted" w:color="auto" w:sz="4" w:space="0"/>
            </w:tcBorders>
            <w:vAlign w:val="center"/>
          </w:tcPr>
          <w:p>
            <w:pPr>
              <w:spacing w:line="360" w:lineRule="exact"/>
              <w:jc w:val="center"/>
              <w:rPr>
                <w:rFonts w:hint="default" w:ascii="Times New Roman" w:hAnsi="Times New Roman" w:cs="Times New Roman" w:eastAsiaTheme="minorEastAsia"/>
                <w:iCs/>
                <w:sz w:val="18"/>
                <w:szCs w:val="18"/>
              </w:rPr>
            </w:pPr>
          </w:p>
        </w:tc>
        <w:tc>
          <w:tcPr>
            <w:tcW w:w="1186"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360" w:lineRule="exact"/>
              <w:jc w:val="center"/>
              <w:rPr>
                <w:rFonts w:hint="default" w:ascii="Times New Roman" w:hAnsi="Times New Roman" w:cs="Times New Roman" w:eastAsiaTheme="minorEastAsia"/>
                <w:iCs/>
                <w:sz w:val="18"/>
                <w:szCs w:val="18"/>
                <w:highlight w:val="yellow"/>
              </w:rPr>
            </w:pPr>
          </w:p>
        </w:tc>
        <w:tc>
          <w:tcPr>
            <w:tcW w:w="1356" w:type="pct"/>
            <w:tcBorders>
              <w:top w:val="dotted" w:color="auto" w:sz="4" w:space="0"/>
              <w:left w:val="dotted" w:color="auto" w:sz="4" w:space="0"/>
              <w:bottom w:val="dotted" w:color="auto" w:sz="4" w:space="0"/>
              <w:right w:val="nil"/>
            </w:tcBorders>
            <w:vAlign w:val="center"/>
          </w:tcPr>
          <w:p>
            <w:pPr>
              <w:spacing w:line="360" w:lineRule="exact"/>
              <w:jc w:val="center"/>
              <w:rPr>
                <w:rFonts w:hint="default" w:ascii="Times New Roman" w:hAnsi="Times New Roman" w:cs="Times New Roman" w:eastAsiaTheme="minorEastAsia"/>
                <w:iCs/>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jc w:val="center"/>
        </w:trPr>
        <w:tc>
          <w:tcPr>
            <w:tcW w:w="965" w:type="pct"/>
            <w:tcBorders>
              <w:top w:val="dotted" w:color="auto" w:sz="4" w:space="0"/>
              <w:left w:val="nil"/>
              <w:bottom w:val="dotted" w:color="auto" w:sz="4" w:space="0"/>
              <w:right w:val="dotted" w:color="auto" w:sz="4" w:space="0"/>
            </w:tcBorders>
            <w:vAlign w:val="center"/>
          </w:tcPr>
          <w:p>
            <w:pPr>
              <w:spacing w:line="360" w:lineRule="exact"/>
              <w:ind w:firstLine="149" w:firstLineChars="83"/>
              <w:jc w:val="left"/>
              <w:rPr>
                <w:rFonts w:ascii="Arial Narrow" w:hAnsi="Arial Narrow" w:cs="Arial"/>
                <w:iCs/>
                <w:sz w:val="18"/>
                <w:szCs w:val="18"/>
              </w:rPr>
            </w:pPr>
            <w:r>
              <w:rPr>
                <w:rFonts w:hint="eastAsia" w:ascii="Arial Narrow" w:hAnsi="Arial Narrow" w:cs="Arial"/>
                <w:iCs/>
                <w:sz w:val="18"/>
                <w:szCs w:val="18"/>
              </w:rPr>
              <w:t>递延所得税负债</w:t>
            </w:r>
          </w:p>
        </w:tc>
        <w:tc>
          <w:tcPr>
            <w:tcW w:w="1493" w:type="pct"/>
            <w:tcBorders>
              <w:top w:val="dotted" w:color="auto" w:sz="4" w:space="0"/>
              <w:left w:val="dotted" w:color="auto" w:sz="4" w:space="0"/>
              <w:bottom w:val="dotted" w:color="auto" w:sz="4" w:space="0"/>
              <w:right w:val="dotted" w:color="auto" w:sz="4" w:space="0"/>
            </w:tcBorders>
            <w:vAlign w:val="center"/>
          </w:tcPr>
          <w:p>
            <w:pPr>
              <w:spacing w:line="360" w:lineRule="exact"/>
              <w:jc w:val="center"/>
              <w:rPr>
                <w:rFonts w:hint="default" w:ascii="Times New Roman" w:hAnsi="Times New Roman" w:cs="Times New Roman" w:eastAsiaTheme="minorEastAsia"/>
                <w:iCs/>
                <w:sz w:val="18"/>
                <w:szCs w:val="18"/>
              </w:rPr>
            </w:pPr>
            <w:r>
              <w:rPr>
                <w:rFonts w:hint="default" w:ascii="Times New Roman" w:hAnsi="Times New Roman" w:cs="Times New Roman" w:eastAsiaTheme="minorEastAsia"/>
                <w:iCs/>
                <w:sz w:val="18"/>
                <w:szCs w:val="18"/>
              </w:rPr>
              <w:t>719,434,537.00</w:t>
            </w:r>
          </w:p>
        </w:tc>
        <w:tc>
          <w:tcPr>
            <w:tcW w:w="1186"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360" w:lineRule="exact"/>
              <w:jc w:val="center"/>
              <w:rPr>
                <w:rFonts w:hint="default" w:ascii="Times New Roman" w:hAnsi="Times New Roman" w:cs="Times New Roman" w:eastAsiaTheme="minorEastAsia"/>
                <w:iCs/>
                <w:sz w:val="18"/>
                <w:szCs w:val="18"/>
                <w:highlight w:val="yellow"/>
              </w:rPr>
            </w:pPr>
            <w:r>
              <w:rPr>
                <w:rFonts w:hint="default" w:ascii="Times New Roman" w:hAnsi="Times New Roman" w:cs="Times New Roman" w:eastAsiaTheme="minorEastAsia"/>
                <w:iCs/>
                <w:sz w:val="18"/>
                <w:szCs w:val="18"/>
              </w:rPr>
              <w:t xml:space="preserve">10,932,238.07 </w:t>
            </w:r>
          </w:p>
        </w:tc>
        <w:tc>
          <w:tcPr>
            <w:tcW w:w="1356" w:type="pct"/>
            <w:tcBorders>
              <w:top w:val="dotted" w:color="auto" w:sz="4" w:space="0"/>
              <w:left w:val="dotted" w:color="auto" w:sz="4" w:space="0"/>
              <w:bottom w:val="dotted" w:color="auto" w:sz="4" w:space="0"/>
              <w:right w:val="nil"/>
            </w:tcBorders>
            <w:vAlign w:val="center"/>
          </w:tcPr>
          <w:p>
            <w:pPr>
              <w:spacing w:line="360" w:lineRule="exact"/>
              <w:jc w:val="center"/>
              <w:rPr>
                <w:rFonts w:hint="default" w:ascii="Times New Roman" w:hAnsi="Times New Roman" w:cs="Times New Roman" w:eastAsiaTheme="minorEastAsia"/>
                <w:iCs/>
                <w:sz w:val="18"/>
                <w:szCs w:val="18"/>
              </w:rPr>
            </w:pPr>
            <w:r>
              <w:rPr>
                <w:rFonts w:hint="default" w:ascii="Times New Roman" w:hAnsi="Times New Roman" w:cs="Times New Roman" w:eastAsiaTheme="minorEastAsia"/>
                <w:iCs/>
                <w:sz w:val="18"/>
                <w:szCs w:val="18"/>
              </w:rPr>
              <w:t>730,366,775.07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jc w:val="center"/>
        </w:trPr>
        <w:tc>
          <w:tcPr>
            <w:tcW w:w="965" w:type="pct"/>
            <w:tcBorders>
              <w:top w:val="dotted" w:color="auto" w:sz="4" w:space="0"/>
              <w:left w:val="nil"/>
              <w:bottom w:val="dotted" w:color="auto" w:sz="4" w:space="0"/>
              <w:right w:val="dotted" w:color="auto" w:sz="4" w:space="0"/>
            </w:tcBorders>
            <w:vAlign w:val="center"/>
          </w:tcPr>
          <w:p>
            <w:pPr>
              <w:spacing w:line="360" w:lineRule="exact"/>
              <w:ind w:firstLine="149" w:firstLineChars="83"/>
              <w:jc w:val="left"/>
              <w:rPr>
                <w:rFonts w:ascii="Arial Narrow" w:hAnsi="Arial Narrow" w:cs="Arial"/>
                <w:iCs/>
                <w:sz w:val="18"/>
                <w:szCs w:val="18"/>
              </w:rPr>
            </w:pPr>
            <w:r>
              <w:rPr>
                <w:rFonts w:hint="eastAsia" w:ascii="Arial Narrow" w:hAnsi="Arial Narrow" w:cs="Arial"/>
                <w:iCs/>
                <w:sz w:val="18"/>
                <w:szCs w:val="18"/>
              </w:rPr>
              <w:t>所有者权益类：</w:t>
            </w:r>
          </w:p>
        </w:tc>
        <w:tc>
          <w:tcPr>
            <w:tcW w:w="1493" w:type="pct"/>
            <w:tcBorders>
              <w:top w:val="dotted" w:color="auto" w:sz="4" w:space="0"/>
              <w:left w:val="dotted" w:color="auto" w:sz="4" w:space="0"/>
              <w:bottom w:val="dotted" w:color="auto" w:sz="4" w:space="0"/>
              <w:right w:val="dotted" w:color="auto" w:sz="4" w:space="0"/>
            </w:tcBorders>
            <w:vAlign w:val="center"/>
          </w:tcPr>
          <w:p>
            <w:pPr>
              <w:spacing w:line="360" w:lineRule="exact"/>
              <w:jc w:val="center"/>
              <w:rPr>
                <w:rFonts w:hint="default" w:ascii="Times New Roman" w:hAnsi="Times New Roman" w:cs="Times New Roman" w:eastAsiaTheme="minorEastAsia"/>
                <w:iCs/>
                <w:sz w:val="18"/>
                <w:szCs w:val="18"/>
              </w:rPr>
            </w:pPr>
          </w:p>
        </w:tc>
        <w:tc>
          <w:tcPr>
            <w:tcW w:w="1186"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360" w:lineRule="exact"/>
              <w:jc w:val="center"/>
              <w:rPr>
                <w:rFonts w:hint="default" w:ascii="Times New Roman" w:hAnsi="Times New Roman" w:cs="Times New Roman" w:eastAsiaTheme="minorEastAsia"/>
                <w:iCs/>
                <w:sz w:val="18"/>
                <w:szCs w:val="18"/>
                <w:highlight w:val="yellow"/>
              </w:rPr>
            </w:pPr>
          </w:p>
        </w:tc>
        <w:tc>
          <w:tcPr>
            <w:tcW w:w="1356" w:type="pct"/>
            <w:tcBorders>
              <w:top w:val="dotted" w:color="auto" w:sz="4" w:space="0"/>
              <w:left w:val="dotted" w:color="auto" w:sz="4" w:space="0"/>
              <w:bottom w:val="dotted" w:color="auto" w:sz="4" w:space="0"/>
              <w:right w:val="nil"/>
            </w:tcBorders>
            <w:vAlign w:val="center"/>
          </w:tcPr>
          <w:p>
            <w:pPr>
              <w:spacing w:line="360" w:lineRule="exact"/>
              <w:jc w:val="center"/>
              <w:rPr>
                <w:rFonts w:hint="default" w:ascii="Times New Roman" w:hAnsi="Times New Roman" w:cs="Times New Roman" w:eastAsiaTheme="minorEastAsia"/>
                <w:iCs/>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jc w:val="center"/>
        </w:trPr>
        <w:tc>
          <w:tcPr>
            <w:tcW w:w="965" w:type="pct"/>
            <w:tcBorders>
              <w:top w:val="dotted" w:color="auto" w:sz="4" w:space="0"/>
              <w:left w:val="nil"/>
              <w:bottom w:val="single" w:color="auto" w:sz="18" w:space="0"/>
              <w:right w:val="dotted" w:color="auto" w:sz="4" w:space="0"/>
            </w:tcBorders>
            <w:vAlign w:val="center"/>
          </w:tcPr>
          <w:p>
            <w:pPr>
              <w:spacing w:line="360" w:lineRule="exact"/>
              <w:ind w:firstLine="149" w:firstLineChars="83"/>
              <w:jc w:val="left"/>
              <w:rPr>
                <w:rFonts w:ascii="Arial Narrow" w:hAnsi="宋体" w:cs="Arial"/>
                <w:iCs/>
                <w:sz w:val="18"/>
                <w:szCs w:val="18"/>
              </w:rPr>
            </w:pPr>
            <w:r>
              <w:rPr>
                <w:rFonts w:hint="eastAsia" w:ascii="Arial Narrow" w:hAnsi="宋体" w:cs="Arial"/>
                <w:iCs/>
                <w:sz w:val="18"/>
                <w:szCs w:val="18"/>
              </w:rPr>
              <w:t>未分配利润</w:t>
            </w:r>
          </w:p>
        </w:tc>
        <w:tc>
          <w:tcPr>
            <w:tcW w:w="1493" w:type="pct"/>
            <w:tcBorders>
              <w:top w:val="dotted" w:color="auto" w:sz="4" w:space="0"/>
              <w:left w:val="dotted" w:color="auto" w:sz="4" w:space="0"/>
              <w:bottom w:val="single" w:color="auto" w:sz="18" w:space="0"/>
              <w:right w:val="dotted" w:color="auto" w:sz="4" w:space="0"/>
            </w:tcBorders>
            <w:vAlign w:val="center"/>
          </w:tcPr>
          <w:p>
            <w:pPr>
              <w:spacing w:line="360" w:lineRule="exact"/>
              <w:jc w:val="center"/>
              <w:rPr>
                <w:rFonts w:hint="default" w:ascii="Times New Roman" w:hAnsi="Times New Roman" w:cs="Times New Roman" w:eastAsiaTheme="minorEastAsia"/>
                <w:iCs/>
                <w:sz w:val="18"/>
                <w:szCs w:val="18"/>
              </w:rPr>
            </w:pPr>
            <w:r>
              <w:rPr>
                <w:rFonts w:hint="default" w:ascii="Times New Roman" w:hAnsi="Times New Roman" w:cs="Times New Roman" w:eastAsiaTheme="minorEastAsia"/>
                <w:iCs/>
                <w:sz w:val="18"/>
                <w:szCs w:val="18"/>
              </w:rPr>
              <w:t>576,049,768.47</w:t>
            </w:r>
          </w:p>
        </w:tc>
        <w:tc>
          <w:tcPr>
            <w:tcW w:w="1186" w:type="pct"/>
            <w:tcBorders>
              <w:top w:val="dotted" w:color="auto" w:sz="4" w:space="0"/>
              <w:left w:val="dotted" w:color="auto" w:sz="4" w:space="0"/>
              <w:bottom w:val="single" w:color="auto" w:sz="18" w:space="0"/>
              <w:right w:val="dotted" w:color="auto" w:sz="4" w:space="0"/>
            </w:tcBorders>
            <w:vAlign w:val="center"/>
          </w:tcPr>
          <w:p>
            <w:pPr>
              <w:spacing w:line="360" w:lineRule="exact"/>
              <w:jc w:val="center"/>
              <w:rPr>
                <w:rFonts w:hint="default" w:ascii="Times New Roman" w:hAnsi="Times New Roman" w:cs="Times New Roman" w:eastAsiaTheme="minorEastAsia"/>
                <w:iCs/>
                <w:sz w:val="18"/>
                <w:szCs w:val="18"/>
              </w:rPr>
            </w:pPr>
            <w:r>
              <w:rPr>
                <w:rFonts w:hint="default" w:ascii="Times New Roman" w:hAnsi="Times New Roman" w:cs="Times New Roman" w:eastAsiaTheme="minorEastAsia"/>
                <w:iCs/>
                <w:sz w:val="18"/>
                <w:szCs w:val="18"/>
              </w:rPr>
              <w:t xml:space="preserve">-5,536,148.43 </w:t>
            </w:r>
          </w:p>
        </w:tc>
        <w:tc>
          <w:tcPr>
            <w:tcW w:w="1356" w:type="pct"/>
            <w:tcBorders>
              <w:top w:val="dotted" w:color="auto" w:sz="4" w:space="0"/>
              <w:left w:val="dotted" w:color="auto" w:sz="4" w:space="0"/>
              <w:bottom w:val="single" w:color="auto" w:sz="18" w:space="0"/>
              <w:right w:val="nil"/>
            </w:tcBorders>
            <w:vAlign w:val="center"/>
          </w:tcPr>
          <w:p>
            <w:pPr>
              <w:spacing w:line="360" w:lineRule="exact"/>
              <w:jc w:val="center"/>
              <w:rPr>
                <w:rFonts w:hint="default" w:ascii="Times New Roman" w:hAnsi="Times New Roman" w:cs="Times New Roman" w:eastAsiaTheme="minorEastAsia"/>
                <w:iCs/>
                <w:sz w:val="18"/>
                <w:szCs w:val="18"/>
              </w:rPr>
            </w:pPr>
            <w:r>
              <w:rPr>
                <w:rFonts w:hint="default" w:ascii="Times New Roman" w:hAnsi="Times New Roman" w:cs="Times New Roman" w:eastAsiaTheme="minorEastAsia"/>
                <w:iCs/>
                <w:sz w:val="18"/>
                <w:szCs w:val="18"/>
              </w:rPr>
              <w:t>570,513,620.04</w:t>
            </w:r>
          </w:p>
        </w:tc>
      </w:tr>
    </w:tbl>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3.会计估计变更情况</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本集团本年度无重大会计估计变更事项。</w:t>
      </w:r>
    </w:p>
    <w:p>
      <w:pPr>
        <w:keepNext w:val="0"/>
        <w:keepLines w:val="0"/>
        <w:pageBreakBefore w:val="0"/>
        <w:numPr>
          <w:ilvl w:val="0"/>
          <w:numId w:val="0"/>
        </w:numPr>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4.会计报表主要项目注释</w:t>
      </w:r>
    </w:p>
    <w:p>
      <w:pPr>
        <w:keepNext w:val="0"/>
        <w:keepLines w:val="0"/>
        <w:pageBreakBefore w:val="0"/>
        <w:numPr>
          <w:ilvl w:val="0"/>
          <w:numId w:val="0"/>
        </w:numPr>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（1）应收账款：期末账面价值180,520.16万元，比期初增加40,841.3万元；</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（2）存货：期末账面价值162,550.03万元，比期初</w:t>
      </w:r>
      <w:r>
        <w:rPr>
          <w:rFonts w:hint="eastAsia" w:ascii="Times New Roman" w:hAnsi="Times New Roman" w:eastAsia="仿宋_GB2312" w:cs="Times New Roman"/>
          <w:sz w:val="32"/>
          <w:szCs w:val="32"/>
          <w:lang w:val="en-US" w:eastAsia="zh-CN"/>
        </w:rPr>
        <w:t>减少</w:t>
      </w:r>
      <w:r>
        <w:rPr>
          <w:rFonts w:hint="default" w:ascii="Times New Roman" w:hAnsi="Times New Roman" w:eastAsia="仿宋_GB2312" w:cs="Times New Roman"/>
          <w:sz w:val="32"/>
          <w:szCs w:val="32"/>
          <w:lang w:val="en-US" w:eastAsia="zh-CN"/>
        </w:rPr>
        <w:t>87,673.89万元；</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（3）固定资产：期末账面余额4,716,623.18万元，计提折旧408,536.92万元，账面净额4,308,086.26万元，比期初增加177,047.92万元;</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（4）在建工程：期末账面价值2,879,815.27万元，比期初增加163,162.01万元；</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（5）无形资产：期末账面价值923,192.99万元，比期初</w:t>
      </w:r>
      <w:r>
        <w:rPr>
          <w:rFonts w:hint="eastAsia" w:ascii="Times New Roman" w:hAnsi="Times New Roman" w:eastAsia="仿宋_GB2312" w:cs="Times New Roman"/>
          <w:sz w:val="32"/>
          <w:szCs w:val="32"/>
          <w:lang w:val="en-US" w:eastAsia="zh-CN"/>
        </w:rPr>
        <w:t>减少4,758.72</w:t>
      </w:r>
      <w:r>
        <w:rPr>
          <w:rFonts w:hint="default" w:ascii="Times New Roman" w:hAnsi="Times New Roman" w:eastAsia="仿宋_GB2312" w:cs="Times New Roman"/>
          <w:sz w:val="32"/>
          <w:szCs w:val="32"/>
          <w:lang w:val="en-US" w:eastAsia="zh-CN"/>
        </w:rPr>
        <w:t>万元;</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（6）短期借款：期末账面价值1,001.39万元，比期初减少18,609.26万元；</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（7）应付账款：期末账面价值486,184.01万元，比期初</w:t>
      </w:r>
      <w:r>
        <w:rPr>
          <w:rFonts w:hint="eastAsia" w:ascii="Times New Roman" w:hAnsi="Times New Roman" w:eastAsia="仿宋_GB2312" w:cs="Times New Roman"/>
          <w:sz w:val="32"/>
          <w:szCs w:val="32"/>
          <w:lang w:val="en-US" w:eastAsia="zh-CN"/>
        </w:rPr>
        <w:t>减少</w:t>
      </w:r>
      <w:r>
        <w:rPr>
          <w:rFonts w:hint="default" w:ascii="Times New Roman" w:hAnsi="Times New Roman" w:eastAsia="仿宋_GB2312" w:cs="Times New Roman"/>
          <w:sz w:val="32"/>
          <w:szCs w:val="32"/>
          <w:lang w:val="en-US" w:eastAsia="zh-CN"/>
        </w:rPr>
        <w:t>302,776.08万元;</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（8）长期借款:期末账面价值3,872,275.53万元，比期初增加458,671.76万元；</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（9）应付债券：期末账面价值550,000万元，</w:t>
      </w:r>
      <w:r>
        <w:rPr>
          <w:rFonts w:hint="eastAsia" w:ascii="Times New Roman" w:hAnsi="Times New Roman" w:eastAsia="仿宋_GB2312" w:cs="Times New Roman"/>
          <w:sz w:val="32"/>
          <w:szCs w:val="32"/>
          <w:lang w:val="en-US" w:eastAsia="zh-CN"/>
        </w:rPr>
        <w:t>与期初持平</w:t>
      </w:r>
      <w:r>
        <w:rPr>
          <w:rFonts w:hint="default"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autoSpaceDN/>
        <w:bidi w:val="0"/>
        <w:snapToGrid/>
        <w:spacing w:after="156" w:afterLines="5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（10）实收资本:期末账面价值4,86,8023.6万元，</w:t>
      </w:r>
      <w:r>
        <w:rPr>
          <w:rFonts w:hint="eastAsia" w:ascii="Times New Roman" w:hAnsi="Times New Roman" w:eastAsia="仿宋_GB2312" w:cs="Times New Roman"/>
          <w:sz w:val="32"/>
          <w:szCs w:val="32"/>
          <w:lang w:val="en-US" w:eastAsia="zh-CN"/>
        </w:rPr>
        <w:t>与期初持平</w:t>
      </w:r>
      <w:r>
        <w:rPr>
          <w:rFonts w:hint="default" w:ascii="Times New Roman" w:hAnsi="Times New Roman" w:eastAsia="仿宋_GB2312" w:cs="Times New Roman"/>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firstLine="640" w:firstLineChars="200"/>
        <w:jc w:val="both"/>
        <w:textAlignment w:val="auto"/>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（三）</w:t>
      </w:r>
      <w:r>
        <w:rPr>
          <w:rFonts w:hint="eastAsia" w:ascii="Times New Roman" w:hAnsi="Times New Roman" w:eastAsia="楷体_GB2312" w:cs="Times New Roman"/>
          <w:sz w:val="32"/>
          <w:szCs w:val="32"/>
          <w:highlight w:val="none"/>
          <w:lang w:val="en-US" w:eastAsia="zh-CN"/>
        </w:rPr>
        <w:t>2023年</w:t>
      </w:r>
      <w:r>
        <w:rPr>
          <w:rFonts w:hint="default" w:ascii="Times New Roman" w:hAnsi="Times New Roman" w:eastAsia="楷体_GB2312" w:cs="Times New Roman"/>
          <w:sz w:val="32"/>
          <w:szCs w:val="32"/>
          <w:highlight w:val="none"/>
          <w:lang w:val="en-US" w:eastAsia="zh-CN"/>
        </w:rPr>
        <w:t>经审计后的合并利润表</w:t>
      </w:r>
    </w:p>
    <w:tbl>
      <w:tblPr>
        <w:tblStyle w:val="4"/>
        <w:tblW w:w="97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34"/>
        <w:gridCol w:w="735"/>
        <w:gridCol w:w="2491"/>
        <w:gridCol w:w="2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9795" w:type="dxa"/>
            <w:gridSpan w:val="4"/>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napToGrid/>
              <w:spacing w:line="600" w:lineRule="exact"/>
              <w:jc w:val="center"/>
              <w:textAlignment w:val="center"/>
              <w:rPr>
                <w:rFonts w:hint="default" w:ascii="Times New Roman" w:hAnsi="Times New Roman" w:eastAsia="仿宋_GB2312" w:cs="Times New Roman"/>
                <w:b w:val="0"/>
                <w:bCs w:val="0"/>
                <w:i w:val="0"/>
                <w:iCs w:val="0"/>
                <w:color w:val="000000"/>
                <w:kern w:val="0"/>
                <w:sz w:val="36"/>
                <w:szCs w:val="36"/>
                <w:u w:val="none"/>
                <w:lang w:val="en-US" w:eastAsia="zh-CN" w:bidi="ar"/>
              </w:rPr>
            </w:pPr>
            <w:r>
              <w:rPr>
                <w:rFonts w:hint="default" w:ascii="Times New Roman" w:hAnsi="Times New Roman" w:eastAsia="仿宋_GB2312" w:cs="Times New Roman"/>
                <w:b w:val="0"/>
                <w:bCs w:val="0"/>
                <w:i w:val="0"/>
                <w:iCs w:val="0"/>
                <w:color w:val="000000"/>
                <w:kern w:val="0"/>
                <w:sz w:val="36"/>
                <w:szCs w:val="36"/>
                <w:u w:val="none"/>
                <w:lang w:val="en-US" w:eastAsia="zh-CN" w:bidi="ar"/>
              </w:rPr>
              <w:t>合并利润表</w:t>
            </w:r>
          </w:p>
          <w:p>
            <w:pPr>
              <w:keepNext w:val="0"/>
              <w:keepLines w:val="0"/>
              <w:pageBreakBefore w:val="0"/>
              <w:widowControl/>
              <w:suppressLineNumbers w:val="0"/>
              <w:kinsoku/>
              <w:wordWrap/>
              <w:overflowPunct/>
              <w:topLinePunct w:val="0"/>
              <w:autoSpaceDE/>
              <w:autoSpaceDN/>
              <w:bidi w:val="0"/>
              <w:snapToGrid/>
              <w:spacing w:line="600" w:lineRule="exact"/>
              <w:jc w:val="right"/>
              <w:textAlignment w:val="center"/>
              <w:rPr>
                <w:rFonts w:hint="default" w:ascii="Times New Roman" w:hAnsi="Times New Roman" w:eastAsia="仿宋_GB2312" w:cs="Times New Roman"/>
                <w:b w:val="0"/>
                <w:bCs w:val="0"/>
                <w:i w:val="0"/>
                <w:iCs w:val="0"/>
                <w:color w:val="000000"/>
                <w:kern w:val="0"/>
                <w:sz w:val="36"/>
                <w:szCs w:val="36"/>
                <w:u w:val="none"/>
                <w:lang w:val="en-US" w:eastAsia="zh-CN" w:bidi="ar"/>
              </w:rPr>
            </w:pPr>
            <w:r>
              <w:rPr>
                <w:rFonts w:hint="default" w:ascii="Times New Roman" w:hAnsi="Times New Roman" w:eastAsia="仿宋_GB2312" w:cs="Times New Roman"/>
                <w:b w:val="0"/>
                <w:bCs w:val="0"/>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napToGrid/>
              <w:spacing w:line="600" w:lineRule="exact"/>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32"/>
                <w:szCs w:val="32"/>
                <w:u w:val="none"/>
                <w:lang w:val="en-US" w:eastAsia="zh-CN" w:bidi="ar"/>
              </w:rPr>
              <w:t>项目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napToGrid/>
              <w:spacing w:line="6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8"/>
                <w:szCs w:val="28"/>
                <w:u w:val="none"/>
                <w:lang w:val="en-US" w:eastAsia="zh-CN" w:bidi="ar"/>
              </w:rPr>
              <w:t>行次</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napToGrid/>
              <w:spacing w:line="6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8"/>
                <w:szCs w:val="28"/>
                <w:u w:val="none"/>
                <w:lang w:val="en-US" w:eastAsia="zh-CN" w:bidi="ar"/>
              </w:rPr>
              <w:t>本期发生额</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napToGrid/>
              <w:spacing w:line="6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8"/>
                <w:szCs w:val="28"/>
                <w:u w:val="none"/>
                <w:lang w:val="en-US" w:eastAsia="zh-CN" w:bidi="ar"/>
              </w:rPr>
              <w:t>上期发生额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b/>
                <w:bCs/>
                <w:i w:val="0"/>
                <w:iCs w:val="0"/>
                <w:color w:val="000000"/>
                <w:kern w:val="0"/>
                <w:sz w:val="22"/>
                <w:szCs w:val="22"/>
                <w:u w:val="none"/>
                <w:lang w:val="en-US" w:eastAsia="zh-CN" w:bidi="ar"/>
              </w:rPr>
              <w:t>一、营业总收入</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1</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6,352,052,126.04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4,053,026,351.94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其中：营业收入</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6,352,052,126.04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4,053,026,351.94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△利息收入</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△已赚保费</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△手续费及佣金收入</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Style w:val="10"/>
                <w:rFonts w:hint="default" w:ascii="Times New Roman" w:hAnsi="Times New Roman" w:eastAsia="仿宋_GB2312" w:cs="Times New Roman"/>
                <w:sz w:val="32"/>
                <w:szCs w:val="32"/>
                <w:lang w:val="en-US" w:eastAsia="zh-CN" w:bidi="ar"/>
              </w:rPr>
            </w:pPr>
            <w:r>
              <w:rPr>
                <w:rFonts w:hint="default" w:ascii="Times New Roman" w:hAnsi="Times New Roman" w:eastAsia="仿宋_GB2312" w:cs="Times New Roman"/>
                <w:b/>
                <w:bCs/>
                <w:i w:val="0"/>
                <w:iCs w:val="0"/>
                <w:color w:val="000000"/>
                <w:kern w:val="0"/>
                <w:sz w:val="22"/>
                <w:szCs w:val="22"/>
                <w:u w:val="none"/>
                <w:lang w:val="en-US" w:eastAsia="zh-CN" w:bidi="ar"/>
              </w:rPr>
              <w:t>二、营业总成本</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6</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6,681,415,582.69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4,996,998,502.51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其中：营业成本</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5,207,845,741.42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3,728,895,034.20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△利息支出</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8</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△手续费及佣金支出</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9</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△退保金</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△赔付支出净额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11</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△提取保险合同准备金净额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12</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△保单红利支出</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13</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△分保费用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14</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税金及附加</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15</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78,783,145.80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50,887,966.03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销售费用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16</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72,481,893.58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33,861,622.36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管理费用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17</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239,850,524.14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194,789,128.86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其中：党建工作经费</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18</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1,064,876.94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718,525.93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研发费用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19</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63,203,714.27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17,409,106.04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财务费用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20</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1,019,250,563.48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971,155,645.02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其中：利息支出</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21</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1,266,321,664.19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1,272,041,006.52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利息收入</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22</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248,672,795.38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309,452,370.86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汇兑净收益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23</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汇兑净损失</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24</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-3,650,393.81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其他</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25</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加：其他收益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26</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15,231,179.43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3,974,718.85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投资收益（损失以“-”号填列）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27</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-105,430,386.85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-111,072,360.18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其中：对联营企业和合营企业的投资收益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28</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-216,025,622.44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-321,922,688.15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以摊余成本计量的金融资产终止确认收益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29</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△汇兑收益（损失以“-”号填列）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30</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☆净敞口套期收益（损失以“-”号填列）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31</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公允价值变动收益（损失以“-”号填列）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32</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-4,934,889.68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39,672,423.80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☆信用减值损失（损失以“-”号填列）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33</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-44,473,420.35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-39,308,052.05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资产减值损失（损失以“-”号填列）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34</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-74,236,587.17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-6,837,999.85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资产处置收益（损失以“-”号填列）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35</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846,024.17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107,866.91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三、营业利润（亏损以“－”号填列）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36</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-542,361,537.10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-1,057,435,553.09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加：营业外收入</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37</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8,780,481.83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3,430,462.84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其中：政府补助</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38</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4,958.99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减：营业外支出</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39</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4,000,606.81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2,823,260.81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四、利润总额（亏损总额以“－”号填列）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40</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-537,581,662.08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-1,056,828,351.06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减：所得税费用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41</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36,533,211.49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26,202,432.93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五、净利润（净亏损以“－”号填列）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42</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-574,114,873.57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-1,083,030,783.99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(一)按所有权归属分类：</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43</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归属于母公司所有者的净利润</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44</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-540,557,969.44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-796,488,015.86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*少数股东损益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45</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-33,556,904.13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-286,542,768.13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(二)按经营持续性分类：</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46</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持续经营净利润</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47</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-574,114,873.57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-1,083,030,783.99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终止经营净利润</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48</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六、其他综合收益的税后净额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49</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-63,873,447.15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-30,166,958.49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归属于母公司所有者的其他综合收益的税后净额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50</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-71,474,270.61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-55,975,586.21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（一）不能重分类进损益的其他综合收益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51</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-150,051,076.36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-48,878,122.07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1.重新计量设定受益计划变动额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52</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2.权益法下不能转损益的其他综合收益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53</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-149,154,047.81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☆3.其他权益工具投资公允价值变动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54</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-150,051,076.36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100,275,925.74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☆4.企业自身信用风险公允价值变动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55</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5.其他</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56</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（二）将重分类进损益的其他综合收益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57</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78,576,805.75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-7,097,464.14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1.权益法下可转损益的其他综合收益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58</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-11,069,839.57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☆2.其他债权投资公允价值变动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59</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-4,578,340.54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3.可供出售金融资产公允价值变动损益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60</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☆4.金融资产重分类计入其他综合收益的金额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61</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5.持有至到期投资重分类为可供出售金融资产损益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62</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☆6.其他债权投资信用减值准备</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63</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79,765,565.10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7.现金流量套期储备</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64</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8.外币财务报表折算差额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65</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3,389,581.19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3,972,375.43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9.其他</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66</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*归属于少数股东的其他综合收益的税后净额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67</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7,600,823.46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25,808,627.72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七、综合收益总额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68</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-637,988,320.72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-1,113,197,742.48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归属于母公司所有者的综合收益总额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69</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-612,032,240.05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-852,463,602.07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*归属于少数股东的综合收益总额</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70</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-25,956,080.67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-260,734,140.41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b/>
                <w:bCs/>
                <w:i w:val="0"/>
                <w:iCs w:val="0"/>
                <w:color w:val="000000"/>
                <w:kern w:val="0"/>
                <w:sz w:val="22"/>
                <w:szCs w:val="22"/>
                <w:u w:val="none"/>
                <w:lang w:val="en-US" w:eastAsia="zh-CN" w:bidi="ar"/>
              </w:rPr>
              <w:t>八、每股收益：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2"/>
                <w:szCs w:val="22"/>
                <w:u w:val="none"/>
                <w:lang w:val="en-US" w:eastAsia="zh-CN" w:bidi="ar"/>
              </w:rPr>
              <w:t>71</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仿宋_GB2312" w:cs="Times New Roman"/>
                <w:i w:val="0"/>
                <w:iCs w:val="0"/>
                <w:color w:val="000000"/>
                <w:sz w:val="21"/>
                <w:szCs w:val="21"/>
                <w:u w:val="none"/>
              </w:rPr>
            </w:pP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（一）基本每股收益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72</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仿宋_GB2312" w:cs="Times New Roman"/>
                <w:i w:val="0"/>
                <w:iCs w:val="0"/>
                <w:color w:val="000000"/>
                <w:sz w:val="21"/>
                <w:szCs w:val="21"/>
                <w:u w:val="none"/>
              </w:rPr>
            </w:pP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（二）稀释每股收益</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73</w:t>
            </w: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仿宋_GB2312" w:cs="Times New Roman"/>
                <w:i w:val="0"/>
                <w:iCs w:val="0"/>
                <w:color w:val="000000"/>
                <w:sz w:val="21"/>
                <w:szCs w:val="21"/>
                <w:u w:val="none"/>
              </w:rPr>
            </w:pP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仿宋_GB2312" w:cs="Times New Roman"/>
                <w:i w:val="0"/>
                <w:iCs w:val="0"/>
                <w:color w:val="000000"/>
                <w:sz w:val="21"/>
                <w:szCs w:val="21"/>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w:t>
      </w:r>
      <w:r>
        <w:rPr>
          <w:rFonts w:hint="eastAsia" w:ascii="Times New Roman" w:hAnsi="Times New Roman" w:eastAsia="楷体_GB2312" w:cs="Times New Roman"/>
          <w:sz w:val="32"/>
          <w:szCs w:val="32"/>
          <w:lang w:val="en-US" w:eastAsia="zh-CN"/>
        </w:rPr>
        <w:t>四</w:t>
      </w:r>
      <w:r>
        <w:rPr>
          <w:rFonts w:hint="default" w:ascii="Times New Roman" w:hAnsi="Times New Roman" w:eastAsia="楷体_GB2312" w:cs="Times New Roman"/>
          <w:sz w:val="32"/>
          <w:szCs w:val="32"/>
          <w:lang w:val="en-US" w:eastAsia="zh-CN"/>
        </w:rPr>
        <w:t>）审计报告意见类型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32"/>
          <w:szCs w:val="32"/>
          <w:lang w:val="en-US" w:eastAsia="zh-CN"/>
        </w:rPr>
        <w:t>山东铁路投资控股集团有限公司</w:t>
      </w:r>
      <w:r>
        <w:rPr>
          <w:rFonts w:hint="eastAsia" w:ascii="Times New Roman" w:hAnsi="Times New Roman" w:eastAsia="仿宋_GB2312" w:cs="Times New Roman"/>
          <w:kern w:val="0"/>
          <w:sz w:val="32"/>
          <w:szCs w:val="32"/>
          <w:lang w:val="en-US" w:eastAsia="zh-CN"/>
        </w:rPr>
        <w:t>2023年</w:t>
      </w:r>
      <w:r>
        <w:rPr>
          <w:rFonts w:hint="default" w:ascii="Times New Roman" w:hAnsi="Times New Roman" w:eastAsia="仿宋_GB2312" w:cs="Times New Roman"/>
          <w:kern w:val="0"/>
          <w:sz w:val="32"/>
          <w:szCs w:val="32"/>
          <w:lang w:val="en-US" w:eastAsia="zh-CN"/>
        </w:rPr>
        <w:t>度财务决算审计机构为天职国际会计师事务所（特殊普通合伙），出具了标准无保留意见审计报告。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kern w:val="0"/>
          <w:sz w:val="32"/>
          <w:szCs w:val="32"/>
          <w:lang w:val="en-US" w:eastAsia="zh-CN"/>
        </w:rPr>
      </w:pPr>
      <w:r>
        <w:rPr>
          <w:rFonts w:hint="default" w:ascii="Times New Roman" w:hAnsi="Times New Roman" w:eastAsia="黑体" w:cs="Times New Roman"/>
          <w:kern w:val="0"/>
          <w:sz w:val="32"/>
          <w:szCs w:val="32"/>
          <w:lang w:val="en-US" w:eastAsia="zh-CN"/>
        </w:rPr>
        <w:t>二、审计报告</w:t>
      </w:r>
    </w:p>
    <w:p>
      <w:pPr>
        <w:keepNext w:val="0"/>
        <w:keepLines w:val="0"/>
        <w:pageBreakBefore w:val="0"/>
        <w:kinsoku/>
        <w:wordWrap/>
        <w:overflowPunct/>
        <w:topLinePunct w:val="0"/>
        <w:autoSpaceDE/>
        <w:autoSpaceDN/>
        <w:bidi w:val="0"/>
        <w:snapToGrid/>
        <w:spacing w:after="156" w:afterLines="50" w:line="600" w:lineRule="exact"/>
        <w:rPr>
          <w:rFonts w:hint="default" w:ascii="Times New Roman" w:hAnsi="Times New Roman" w:eastAsia="仿宋_GB2312" w:cs="Times New Roman"/>
          <w:kern w:val="0"/>
          <w:sz w:val="30"/>
          <w:szCs w:val="30"/>
          <w:lang w:val="en-US" w:eastAsia="zh-CN"/>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334010</wp:posOffset>
            </wp:positionV>
            <wp:extent cx="5612130" cy="7427595"/>
            <wp:effectExtent l="0" t="0" r="7620" b="190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5612130" cy="742759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napToGrid/>
        <w:spacing w:after="156" w:afterLines="50" w:line="600" w:lineRule="exact"/>
        <w:rPr>
          <w:rFonts w:hint="default" w:ascii="Times New Roman" w:hAnsi="Times New Roman" w:eastAsia="仿宋_GB2312" w:cs="Times New Roman"/>
          <w:kern w:val="0"/>
          <w:sz w:val="30"/>
          <w:szCs w:val="30"/>
          <w:lang w:val="en-US" w:eastAsia="zh-CN"/>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283210</wp:posOffset>
            </wp:positionV>
            <wp:extent cx="5610860" cy="7659370"/>
            <wp:effectExtent l="0" t="0" r="8890" b="1778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5610860" cy="765937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napToGrid/>
        <w:spacing w:after="156" w:afterLines="50" w:line="600" w:lineRule="exact"/>
        <w:rPr>
          <w:rFonts w:hint="default" w:ascii="Times New Roman" w:hAnsi="Times New Roman" w:eastAsia="仿宋_GB2312" w:cs="Times New Roman"/>
          <w:kern w:val="0"/>
          <w:sz w:val="30"/>
          <w:szCs w:val="30"/>
          <w:lang w:val="en-US" w:eastAsia="zh-CN"/>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344170</wp:posOffset>
            </wp:positionV>
            <wp:extent cx="5615940" cy="7567295"/>
            <wp:effectExtent l="0" t="0" r="3810" b="14605"/>
            <wp:wrapTopAndBottom/>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
                    <a:stretch>
                      <a:fillRect/>
                    </a:stretch>
                  </pic:blipFill>
                  <pic:spPr>
                    <a:xfrm>
                      <a:off x="0" y="0"/>
                      <a:ext cx="5615940" cy="756729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napToGrid/>
        <w:spacing w:after="156" w:afterLines="50" w:line="600" w:lineRule="exact"/>
        <w:rPr>
          <w:rFonts w:hint="default" w:ascii="Times New Roman" w:hAnsi="Times New Roman" w:eastAsia="仿宋_GB2312" w:cs="Times New Roman"/>
          <w:kern w:val="0"/>
          <w:sz w:val="30"/>
          <w:szCs w:val="30"/>
          <w:lang w:val="en-US" w:eastAsia="zh-CN"/>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232410</wp:posOffset>
            </wp:positionV>
            <wp:extent cx="5614035" cy="7553960"/>
            <wp:effectExtent l="0" t="0" r="5715" b="889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5614035" cy="755396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napToGrid/>
        <w:spacing w:after="156" w:afterLines="50" w:line="600" w:lineRule="exact"/>
        <w:rPr>
          <w:rFonts w:hint="default" w:ascii="Times New Roman" w:hAnsi="Times New Roman" w:eastAsia="仿宋_GB2312" w:cs="Times New Roman"/>
          <w:kern w:val="0"/>
          <w:sz w:val="30"/>
          <w:szCs w:val="30"/>
          <w:lang w:val="en-US" w:eastAsia="zh-CN"/>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201930</wp:posOffset>
            </wp:positionV>
            <wp:extent cx="5610860" cy="7588885"/>
            <wp:effectExtent l="0" t="0" r="8890" b="12065"/>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9"/>
                    <a:stretch>
                      <a:fillRect/>
                    </a:stretch>
                  </pic:blipFill>
                  <pic:spPr>
                    <a:xfrm>
                      <a:off x="0" y="0"/>
                      <a:ext cx="5610860" cy="7588885"/>
                    </a:xfrm>
                    <a:prstGeom prst="rect">
                      <a:avLst/>
                    </a:prstGeom>
                    <a:noFill/>
                    <a:ln>
                      <a:noFill/>
                    </a:ln>
                  </pic:spPr>
                </pic:pic>
              </a:graphicData>
            </a:graphic>
          </wp:anchor>
        </w:drawing>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C85AE5"/>
    <w:multiLevelType w:val="singleLevel"/>
    <w:tmpl w:val="CAC85AE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55120"/>
    <w:rsid w:val="013261DA"/>
    <w:rsid w:val="03900595"/>
    <w:rsid w:val="05597707"/>
    <w:rsid w:val="07B54D24"/>
    <w:rsid w:val="081E2961"/>
    <w:rsid w:val="084B2464"/>
    <w:rsid w:val="085B3B1D"/>
    <w:rsid w:val="08A94889"/>
    <w:rsid w:val="091004C6"/>
    <w:rsid w:val="0A4D56E8"/>
    <w:rsid w:val="0B424F48"/>
    <w:rsid w:val="0C1C1B6C"/>
    <w:rsid w:val="0D6C1858"/>
    <w:rsid w:val="0E331956"/>
    <w:rsid w:val="0F5E2F43"/>
    <w:rsid w:val="11164A85"/>
    <w:rsid w:val="112F5B47"/>
    <w:rsid w:val="11CC15E8"/>
    <w:rsid w:val="11F83EF5"/>
    <w:rsid w:val="12FF6E80"/>
    <w:rsid w:val="14531B4D"/>
    <w:rsid w:val="15AC44B3"/>
    <w:rsid w:val="197B6F64"/>
    <w:rsid w:val="19952FDA"/>
    <w:rsid w:val="1A5D54D3"/>
    <w:rsid w:val="1C495F6D"/>
    <w:rsid w:val="1CE407F6"/>
    <w:rsid w:val="1D8313B1"/>
    <w:rsid w:val="1FB60294"/>
    <w:rsid w:val="20367AD4"/>
    <w:rsid w:val="23DA7B95"/>
    <w:rsid w:val="242B4894"/>
    <w:rsid w:val="263478A3"/>
    <w:rsid w:val="26BD1EDD"/>
    <w:rsid w:val="26D12FC0"/>
    <w:rsid w:val="28226452"/>
    <w:rsid w:val="28496488"/>
    <w:rsid w:val="28CF4C5E"/>
    <w:rsid w:val="29D15493"/>
    <w:rsid w:val="2B3624F0"/>
    <w:rsid w:val="2BC21955"/>
    <w:rsid w:val="2C293467"/>
    <w:rsid w:val="2C3634A8"/>
    <w:rsid w:val="2CAB6572"/>
    <w:rsid w:val="2CCE103E"/>
    <w:rsid w:val="2D247B06"/>
    <w:rsid w:val="2E6511CC"/>
    <w:rsid w:val="2E7C5B44"/>
    <w:rsid w:val="2EB06C80"/>
    <w:rsid w:val="30D97DEF"/>
    <w:rsid w:val="31A17F44"/>
    <w:rsid w:val="34CD32A9"/>
    <w:rsid w:val="370611FE"/>
    <w:rsid w:val="38225CB0"/>
    <w:rsid w:val="3866490F"/>
    <w:rsid w:val="38F55F96"/>
    <w:rsid w:val="3B84690C"/>
    <w:rsid w:val="3C4F6C2D"/>
    <w:rsid w:val="3CC075A5"/>
    <w:rsid w:val="3DCF5CC9"/>
    <w:rsid w:val="3F9470C3"/>
    <w:rsid w:val="40204729"/>
    <w:rsid w:val="408847A8"/>
    <w:rsid w:val="419A5679"/>
    <w:rsid w:val="448E25A9"/>
    <w:rsid w:val="46452535"/>
    <w:rsid w:val="46C44060"/>
    <w:rsid w:val="4B0610EB"/>
    <w:rsid w:val="4B9030A2"/>
    <w:rsid w:val="4BD927E0"/>
    <w:rsid w:val="4CD84A4B"/>
    <w:rsid w:val="4D896004"/>
    <w:rsid w:val="513628FB"/>
    <w:rsid w:val="52D61A89"/>
    <w:rsid w:val="55B47996"/>
    <w:rsid w:val="562E1B71"/>
    <w:rsid w:val="56D55E16"/>
    <w:rsid w:val="5878114F"/>
    <w:rsid w:val="5889510A"/>
    <w:rsid w:val="5A8B2F55"/>
    <w:rsid w:val="5D317793"/>
    <w:rsid w:val="5D3F7D6E"/>
    <w:rsid w:val="5F507F6E"/>
    <w:rsid w:val="5F6C3F37"/>
    <w:rsid w:val="5FDC139B"/>
    <w:rsid w:val="60485C44"/>
    <w:rsid w:val="628A03FC"/>
    <w:rsid w:val="62AB412B"/>
    <w:rsid w:val="63107694"/>
    <w:rsid w:val="6329551F"/>
    <w:rsid w:val="63B24C9F"/>
    <w:rsid w:val="63B41CB6"/>
    <w:rsid w:val="65E639CB"/>
    <w:rsid w:val="66304D00"/>
    <w:rsid w:val="664B7C78"/>
    <w:rsid w:val="68384756"/>
    <w:rsid w:val="69BC2796"/>
    <w:rsid w:val="6B122D3D"/>
    <w:rsid w:val="6B1A6B35"/>
    <w:rsid w:val="6E7704CD"/>
    <w:rsid w:val="6F9C0E40"/>
    <w:rsid w:val="7045513D"/>
    <w:rsid w:val="708741CD"/>
    <w:rsid w:val="716F3355"/>
    <w:rsid w:val="71F238C8"/>
    <w:rsid w:val="72DB1564"/>
    <w:rsid w:val="74FF02FF"/>
    <w:rsid w:val="75122820"/>
    <w:rsid w:val="766905FD"/>
    <w:rsid w:val="78061E7B"/>
    <w:rsid w:val="79921F57"/>
    <w:rsid w:val="79C5111A"/>
    <w:rsid w:val="7A5B4780"/>
    <w:rsid w:val="7B70726A"/>
    <w:rsid w:val="7C3B6564"/>
    <w:rsid w:val="7D1172F8"/>
    <w:rsid w:val="7EB919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01"/>
    <w:basedOn w:val="6"/>
    <w:qFormat/>
    <w:uiPriority w:val="0"/>
    <w:rPr>
      <w:rFonts w:hint="eastAsia" w:ascii="宋体" w:hAnsi="宋体" w:eastAsia="宋体" w:cs="宋体"/>
      <w:b/>
      <w:bCs/>
      <w:color w:val="000000"/>
      <w:sz w:val="22"/>
      <w:szCs w:val="22"/>
      <w:u w:val="none"/>
    </w:rPr>
  </w:style>
  <w:style w:type="character" w:customStyle="1" w:styleId="8">
    <w:name w:val="font41"/>
    <w:basedOn w:val="6"/>
    <w:qFormat/>
    <w:uiPriority w:val="0"/>
    <w:rPr>
      <w:rFonts w:hint="eastAsia" w:ascii="宋体" w:hAnsi="宋体" w:eastAsia="宋体" w:cs="宋体"/>
      <w:color w:val="000000"/>
      <w:sz w:val="22"/>
      <w:szCs w:val="22"/>
      <w:u w:val="none"/>
    </w:rPr>
  </w:style>
  <w:style w:type="paragraph" w:styleId="9">
    <w:name w:val="List Paragraph"/>
    <w:basedOn w:val="1"/>
    <w:qFormat/>
    <w:uiPriority w:val="34"/>
    <w:pPr>
      <w:ind w:firstLine="420" w:firstLineChars="200"/>
    </w:pPr>
    <w:rPr>
      <w:rFonts w:ascii="Times New Roman" w:hAnsi="Times New Roman"/>
    </w:rPr>
  </w:style>
  <w:style w:type="character" w:customStyle="1" w:styleId="10">
    <w:name w:val="font51"/>
    <w:basedOn w:val="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123</dc:creator>
  <cp:lastModifiedBy>胡传龙</cp:lastModifiedBy>
  <dcterms:modified xsi:type="dcterms:W3CDTF">2024-06-25T02:22:39Z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168A1F9CA6D74924A2AF29597F867565</vt:lpwstr>
  </property>
</Properties>
</file>